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DF" w:rsidRPr="00F32CDF" w:rsidRDefault="004839DF" w:rsidP="004839DF">
      <w:pPr>
        <w:spacing w:line="560" w:lineRule="exact"/>
        <w:rPr>
          <w:rFonts w:ascii="黑体" w:eastAsia="黑体" w:hAnsi="黑体"/>
          <w:sz w:val="32"/>
          <w:szCs w:val="32"/>
        </w:rPr>
      </w:pPr>
      <w:bookmarkStart w:id="0" w:name="_GoBack"/>
      <w:bookmarkEnd w:id="0"/>
      <w:r w:rsidRPr="00F32CDF">
        <w:rPr>
          <w:rFonts w:ascii="黑体" w:eastAsia="黑体" w:hAnsi="黑体" w:hint="eastAsia"/>
          <w:sz w:val="32"/>
          <w:szCs w:val="32"/>
        </w:rPr>
        <w:t>附件2</w:t>
      </w:r>
    </w:p>
    <w:p w:rsidR="004839DF" w:rsidRPr="00F32CDF" w:rsidRDefault="004839DF" w:rsidP="004839DF">
      <w:pPr>
        <w:spacing w:beforeLines="50" w:before="120" w:afterLines="50" w:after="120" w:line="560" w:lineRule="exact"/>
        <w:jc w:val="center"/>
        <w:rPr>
          <w:rFonts w:ascii="方正小标宋简体" w:eastAsia="方正小标宋简体"/>
          <w:sz w:val="44"/>
          <w:szCs w:val="44"/>
        </w:rPr>
      </w:pPr>
      <w:r w:rsidRPr="00F32CDF">
        <w:rPr>
          <w:rFonts w:ascii="方正小标宋简体" w:eastAsia="方正小标宋简体" w:hint="eastAsia"/>
          <w:sz w:val="44"/>
          <w:szCs w:val="44"/>
        </w:rPr>
        <w:t>2021年秸秆综合利用重点县自评估表</w:t>
      </w:r>
    </w:p>
    <w:p w:rsidR="004839DF" w:rsidRPr="004B4B43" w:rsidRDefault="004839DF" w:rsidP="004839DF">
      <w:pPr>
        <w:rPr>
          <w:rFonts w:ascii="宋体" w:hAnsi="宋体"/>
          <w:sz w:val="32"/>
          <w:szCs w:val="32"/>
        </w:rPr>
      </w:pPr>
      <w:r w:rsidRPr="004B4B43">
        <w:rPr>
          <w:rFonts w:ascii="宋体" w:hAnsi="宋体"/>
          <w:sz w:val="24"/>
        </w:rPr>
        <w:t>县（市、区）：</w:t>
      </w:r>
    </w:p>
    <w:tbl>
      <w:tblPr>
        <w:tblW w:w="5069" w:type="pct"/>
        <w:jc w:val="center"/>
        <w:tblCellMar>
          <w:left w:w="0" w:type="dxa"/>
          <w:right w:w="0" w:type="dxa"/>
        </w:tblCellMar>
        <w:tblLook w:val="04A0" w:firstRow="1" w:lastRow="0" w:firstColumn="1" w:lastColumn="0" w:noHBand="0" w:noVBand="1"/>
      </w:tblPr>
      <w:tblGrid>
        <w:gridCol w:w="519"/>
        <w:gridCol w:w="838"/>
        <w:gridCol w:w="570"/>
        <w:gridCol w:w="1313"/>
        <w:gridCol w:w="475"/>
        <w:gridCol w:w="5281"/>
      </w:tblGrid>
      <w:tr w:rsidR="004839DF" w:rsidRPr="00F32CDF" w:rsidTr="00BE0DFF">
        <w:trPr>
          <w:trHeight w:val="454"/>
          <w:tblHeader/>
          <w:jc w:val="center"/>
        </w:trPr>
        <w:tc>
          <w:tcPr>
            <w:tcW w:w="288"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b/>
                <w:bCs/>
                <w:szCs w:val="21"/>
              </w:rPr>
            </w:pPr>
            <w:r w:rsidRPr="004B4B43">
              <w:rPr>
                <w:rFonts w:ascii="宋体" w:hAnsi="宋体" w:cs="宋体" w:hint="eastAsia"/>
                <w:b/>
                <w:szCs w:val="21"/>
              </w:rPr>
              <w:t>序号</w:t>
            </w:r>
          </w:p>
        </w:tc>
        <w:tc>
          <w:tcPr>
            <w:tcW w:w="783" w:type="pct"/>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b/>
                <w:bCs/>
                <w:szCs w:val="21"/>
              </w:rPr>
            </w:pPr>
            <w:r w:rsidRPr="004B4B43">
              <w:rPr>
                <w:rFonts w:ascii="宋体" w:hAnsi="宋体" w:cs="宋体" w:hint="eastAsia"/>
                <w:b/>
                <w:szCs w:val="21"/>
              </w:rPr>
              <w:t>评估指标</w:t>
            </w:r>
          </w:p>
        </w:tc>
        <w:tc>
          <w:tcPr>
            <w:tcW w:w="73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b/>
                <w:bCs/>
                <w:szCs w:val="21"/>
              </w:rPr>
            </w:pPr>
            <w:r w:rsidRPr="004B4B43">
              <w:rPr>
                <w:rFonts w:ascii="宋体" w:hAnsi="宋体" w:cs="宋体" w:hint="eastAsia"/>
                <w:b/>
                <w:szCs w:val="21"/>
              </w:rPr>
              <w:t>评估内容</w:t>
            </w:r>
          </w:p>
        </w:tc>
        <w:tc>
          <w:tcPr>
            <w:tcW w:w="2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b/>
                <w:bCs/>
                <w:szCs w:val="21"/>
              </w:rPr>
            </w:pPr>
            <w:r w:rsidRPr="004B4B43">
              <w:rPr>
                <w:rFonts w:ascii="宋体" w:hAnsi="宋体" w:cs="宋体" w:hint="eastAsia"/>
                <w:b/>
                <w:szCs w:val="21"/>
              </w:rPr>
              <w:t>分值</w:t>
            </w:r>
          </w:p>
        </w:tc>
        <w:tc>
          <w:tcPr>
            <w:tcW w:w="293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b/>
                <w:bCs/>
                <w:szCs w:val="21"/>
              </w:rPr>
            </w:pPr>
            <w:r w:rsidRPr="004B4B43">
              <w:rPr>
                <w:rFonts w:ascii="宋体" w:hAnsi="宋体" w:cs="宋体" w:hint="eastAsia"/>
                <w:b/>
                <w:szCs w:val="21"/>
              </w:rPr>
              <w:t>评估要点</w:t>
            </w:r>
          </w:p>
        </w:tc>
      </w:tr>
      <w:tr w:rsidR="004839DF" w:rsidRPr="00F32CDF" w:rsidTr="00BE0DFF">
        <w:trPr>
          <w:trHeight w:val="1087"/>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w:t>
            </w:r>
          </w:p>
        </w:tc>
        <w:tc>
          <w:tcPr>
            <w:tcW w:w="46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组</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织</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管</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理</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(15分)</w:t>
            </w:r>
          </w:p>
        </w:tc>
        <w:tc>
          <w:tcPr>
            <w:tcW w:w="317"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实施</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方案</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实施方案科学</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合理</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7</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制定年度秸秆综合利用实施方案，且方案明确建设内容、保障机制、资金分配、资金管理、补贴标准、补贴程序、进度安排等内容的，得7分，方案内容每少一项扣1分，扣完为止。</w:t>
            </w:r>
          </w:p>
        </w:tc>
      </w:tr>
      <w:tr w:rsidR="004839DF" w:rsidRPr="00F32CDF" w:rsidTr="00BE0DFF">
        <w:trPr>
          <w:trHeight w:val="1104"/>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2</w:t>
            </w:r>
          </w:p>
        </w:tc>
        <w:tc>
          <w:tcPr>
            <w:tcW w:w="466" w:type="pct"/>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317" w:type="pct"/>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方案批复与</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公示</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3</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批复后的县级实施方案在2021年6月30日前报省农业农村厅备案，得2分，否则小项不得分；方案批复后在县级人民政府网站或市级农业部门网站等政府门户上公开的，得1分，否则小项不得分。</w:t>
            </w:r>
          </w:p>
        </w:tc>
      </w:tr>
      <w:tr w:rsidR="004839DF" w:rsidRPr="00F32CDF" w:rsidTr="00BE0DFF">
        <w:trPr>
          <w:trHeight w:val="870"/>
          <w:jc w:val="center"/>
        </w:trPr>
        <w:tc>
          <w:tcPr>
            <w:tcW w:w="288" w:type="pct"/>
            <w:vMerge w:val="restart"/>
            <w:tcBorders>
              <w:top w:val="single" w:sz="4" w:space="0" w:color="000000"/>
              <w:left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3</w:t>
            </w:r>
          </w:p>
        </w:tc>
        <w:tc>
          <w:tcPr>
            <w:tcW w:w="466" w:type="pct"/>
            <w:vMerge/>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317" w:type="pc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组织</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领导</w:t>
            </w:r>
          </w:p>
        </w:tc>
        <w:tc>
          <w:tcPr>
            <w:tcW w:w="730" w:type="pc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政府专门成立</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秸秆综合利用</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领导小组</w:t>
            </w:r>
          </w:p>
        </w:tc>
        <w:tc>
          <w:tcPr>
            <w:tcW w:w="264" w:type="pct"/>
            <w:tcBorders>
              <w:top w:val="single" w:sz="4" w:space="0" w:color="000000"/>
              <w:left w:val="single" w:sz="4" w:space="0" w:color="000000"/>
              <w:bottom w:val="single" w:sz="4" w:space="0" w:color="auto"/>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2</w:t>
            </w:r>
          </w:p>
        </w:tc>
        <w:tc>
          <w:tcPr>
            <w:tcW w:w="2935" w:type="pc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成立以县（市、区）政府负责同志牵头的秸秆综合利用领导小组，推进秸秆综合利用工作，得2分，否则不得分。</w:t>
            </w:r>
          </w:p>
        </w:tc>
      </w:tr>
      <w:tr w:rsidR="004839DF" w:rsidRPr="00F32CDF" w:rsidTr="00BE0DFF">
        <w:trPr>
          <w:trHeight w:val="1110"/>
          <w:jc w:val="center"/>
        </w:trPr>
        <w:tc>
          <w:tcPr>
            <w:tcW w:w="288" w:type="pct"/>
            <w:vMerge/>
            <w:tcBorders>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466" w:type="pct"/>
            <w:vMerge/>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317" w:type="pc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技术</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支撑</w:t>
            </w:r>
          </w:p>
        </w:tc>
        <w:tc>
          <w:tcPr>
            <w:tcW w:w="730" w:type="pc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技术推广、</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项目培训、</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示范观摩</w:t>
            </w:r>
          </w:p>
        </w:tc>
        <w:tc>
          <w:tcPr>
            <w:tcW w:w="264" w:type="pct"/>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3</w:t>
            </w:r>
          </w:p>
        </w:tc>
        <w:tc>
          <w:tcPr>
            <w:tcW w:w="2935" w:type="pc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成立县（市、区）技术指导组，得1分，未成立不得分；加强和各级技术专家组协作，积极推广秸秆综合利用技术，开展技术服务，发挥实际作用（开展模式总结、技术总结，开展实地技术指导、培训授课等），得2分，否则不得分。</w:t>
            </w:r>
          </w:p>
        </w:tc>
      </w:tr>
      <w:tr w:rsidR="004839DF" w:rsidRPr="00F32CDF" w:rsidTr="00BE0DFF">
        <w:trPr>
          <w:trHeight w:val="1106"/>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4</w:t>
            </w:r>
          </w:p>
        </w:tc>
        <w:tc>
          <w:tcPr>
            <w:tcW w:w="46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实</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施</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执</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行</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(35分)</w:t>
            </w:r>
          </w:p>
        </w:tc>
        <w:tc>
          <w:tcPr>
            <w:tcW w:w="3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补贴</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对象</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选取</w:t>
            </w:r>
          </w:p>
        </w:tc>
        <w:tc>
          <w:tcPr>
            <w:tcW w:w="730"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补贴对象选取</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流程符合地方</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财务规定</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5</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补贴对象选取流程符合地方财务规定，单项额度较大的补贴资金按地方财务规定以公开招标等方式确定补贴对象的，得5分；每存在1家不符合规定的参与主体扣1分，扣完为止。</w:t>
            </w:r>
          </w:p>
        </w:tc>
      </w:tr>
      <w:tr w:rsidR="004839DF" w:rsidRPr="00F32CDF" w:rsidTr="00BE0DFF">
        <w:trPr>
          <w:trHeight w:val="1138"/>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5</w:t>
            </w:r>
          </w:p>
        </w:tc>
        <w:tc>
          <w:tcPr>
            <w:tcW w:w="46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合同</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管理</w:t>
            </w:r>
          </w:p>
        </w:tc>
        <w:tc>
          <w:tcPr>
            <w:tcW w:w="730"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政府部门与</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市场主体在签订协议，进行</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合同化管理</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5</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与承担建设内容的市场化主体均签订了协议合同的，得5分；每有一家未签订扣0.5分，扣完为止；均未签订，不得分。</w:t>
            </w:r>
          </w:p>
        </w:tc>
      </w:tr>
      <w:tr w:rsidR="004839DF" w:rsidRPr="00F32CDF" w:rsidTr="00BE0DFF">
        <w:trPr>
          <w:trHeight w:val="859"/>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6</w:t>
            </w:r>
          </w:p>
        </w:tc>
        <w:tc>
          <w:tcPr>
            <w:tcW w:w="46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资金</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使用</w:t>
            </w:r>
          </w:p>
        </w:tc>
        <w:tc>
          <w:tcPr>
            <w:tcW w:w="730"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资金执行</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进度</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6</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截止2021年12月底，资金执行进度达100%的得6分；90%（含）以上不足100%的，得4分；80%（含）以上不足90%的，得2分；低于80%的，不得分。</w:t>
            </w:r>
          </w:p>
        </w:tc>
      </w:tr>
      <w:tr w:rsidR="004839DF" w:rsidRPr="00F32CDF" w:rsidTr="00BE0DFF">
        <w:trPr>
          <w:trHeight w:val="1096"/>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7</w:t>
            </w:r>
          </w:p>
        </w:tc>
        <w:tc>
          <w:tcPr>
            <w:tcW w:w="46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730"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资金支出符合</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相关规定</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8</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财务资料完整、会计核算规范、资金支出均符合规定要求的，得8分。会计核算不规范的，每发现一个问题扣2分；如存在虚列或套取、截留、挤占、挪用资金行为，或擅自扩大资金支出范围的，不得分。</w:t>
            </w:r>
          </w:p>
        </w:tc>
      </w:tr>
      <w:tr w:rsidR="004839DF" w:rsidRPr="00F32CDF" w:rsidTr="00BE0DFF">
        <w:trPr>
          <w:trHeight w:val="1082"/>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8</w:t>
            </w:r>
          </w:p>
        </w:tc>
        <w:tc>
          <w:tcPr>
            <w:tcW w:w="46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730"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资金发放符合</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相关规定</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8</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细化了资金发放流程，并按地方规定及时合理发放相关资金的，得4分，否则不得分；资金发放对象及内容在县级政府门户网站或有关部门（或乡村）宣告栏内公示的，得4分，否则不得分。</w:t>
            </w:r>
          </w:p>
        </w:tc>
      </w:tr>
      <w:tr w:rsidR="004839DF" w:rsidRPr="00F32CDF" w:rsidTr="00BE0DFF">
        <w:trPr>
          <w:trHeight w:val="984"/>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9</w:t>
            </w:r>
          </w:p>
        </w:tc>
        <w:tc>
          <w:tcPr>
            <w:tcW w:w="466"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档案</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资料</w:t>
            </w:r>
          </w:p>
        </w:tc>
        <w:tc>
          <w:tcPr>
            <w:tcW w:w="730" w:type="pct"/>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工作档案以及</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相关文件</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资料齐全</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3</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档案清晰易查的，包括实施方案、资金到账、资金拨付凭证、检查验收、工作进展和工作简报等，得3分；每缺一项扣0.5分，扣完为止。</w:t>
            </w:r>
          </w:p>
        </w:tc>
      </w:tr>
      <w:tr w:rsidR="004839DF" w:rsidRPr="00F32CDF" w:rsidTr="00BE0DFF">
        <w:trPr>
          <w:trHeight w:val="1191"/>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lastRenderedPageBreak/>
              <w:t>10</w:t>
            </w:r>
          </w:p>
        </w:tc>
        <w:tc>
          <w:tcPr>
            <w:tcW w:w="466" w:type="pct"/>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实</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施</w:t>
            </w:r>
          </w:p>
          <w:p w:rsidR="004839DF" w:rsidRPr="004B4B43" w:rsidRDefault="004839DF" w:rsidP="00BE0DFF">
            <w:pPr>
              <w:spacing w:line="260" w:lineRule="exact"/>
              <w:jc w:val="center"/>
              <w:rPr>
                <w:rFonts w:ascii="宋体" w:hAnsi="宋体" w:cs="宋体"/>
                <w:szCs w:val="21"/>
              </w:rPr>
            </w:pPr>
            <w:proofErr w:type="gramStart"/>
            <w:r w:rsidRPr="004B4B43">
              <w:rPr>
                <w:rFonts w:ascii="宋体" w:hAnsi="宋体" w:cs="宋体" w:hint="eastAsia"/>
                <w:szCs w:val="21"/>
              </w:rPr>
              <w:t>效</w:t>
            </w:r>
            <w:proofErr w:type="gramEnd"/>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果</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(50分)</w:t>
            </w:r>
          </w:p>
        </w:tc>
        <w:tc>
          <w:tcPr>
            <w:tcW w:w="317"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产出效益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秸秆综合利用率有效提升</w:t>
            </w:r>
          </w:p>
        </w:tc>
        <w:tc>
          <w:tcPr>
            <w:tcW w:w="264" w:type="pct"/>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color w:val="000000"/>
                <w:szCs w:val="21"/>
              </w:rPr>
            </w:pPr>
            <w:r w:rsidRPr="004B4B43">
              <w:rPr>
                <w:rFonts w:ascii="宋体" w:hAnsi="宋体" w:cs="宋体" w:hint="eastAsia"/>
                <w:color w:val="000000"/>
                <w:szCs w:val="21"/>
              </w:rPr>
              <w:t>10</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left"/>
              <w:rPr>
                <w:rFonts w:ascii="宋体" w:hAnsi="宋体" w:cs="宋体"/>
                <w:szCs w:val="21"/>
              </w:rPr>
            </w:pPr>
            <w:r w:rsidRPr="004B4B43">
              <w:rPr>
                <w:rFonts w:ascii="宋体" w:hAnsi="宋体" w:cs="宋体" w:hint="eastAsia"/>
                <w:szCs w:val="21"/>
              </w:rPr>
              <w:t>秸秆综合利用率达到90%以上或比上年提高5个百分点，得10分，否则不得分。全</w:t>
            </w:r>
            <w:proofErr w:type="gramStart"/>
            <w:r w:rsidRPr="004B4B43">
              <w:rPr>
                <w:rFonts w:ascii="宋体" w:hAnsi="宋体" w:cs="宋体" w:hint="eastAsia"/>
                <w:szCs w:val="21"/>
              </w:rPr>
              <w:t>量利用</w:t>
            </w:r>
            <w:proofErr w:type="gramEnd"/>
            <w:r w:rsidRPr="004B4B43">
              <w:rPr>
                <w:rFonts w:ascii="宋体" w:hAnsi="宋体" w:cs="宋体" w:hint="eastAsia"/>
                <w:szCs w:val="21"/>
              </w:rPr>
              <w:t>试点县、农业生态区域补偿制度试点县和产业模式试点县，秸秆实现全量利用。</w:t>
            </w:r>
          </w:p>
        </w:tc>
      </w:tr>
      <w:tr w:rsidR="004839DF" w:rsidRPr="00F32CDF" w:rsidTr="00BE0DFF">
        <w:trPr>
          <w:trHeight w:val="1250"/>
          <w:jc w:val="center"/>
        </w:trPr>
        <w:tc>
          <w:tcPr>
            <w:tcW w:w="288" w:type="pct"/>
            <w:tcBorders>
              <w:top w:val="single" w:sz="4" w:space="0" w:color="000000"/>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11</w:t>
            </w:r>
          </w:p>
        </w:tc>
        <w:tc>
          <w:tcPr>
            <w:tcW w:w="466" w:type="pct"/>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317" w:type="pct"/>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建立有效的</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秸秆</w:t>
            </w:r>
            <w:proofErr w:type="gramStart"/>
            <w:r w:rsidRPr="004B4B43">
              <w:rPr>
                <w:rFonts w:ascii="宋体" w:hAnsi="宋体" w:cs="宋体" w:hint="eastAsia"/>
                <w:szCs w:val="21"/>
              </w:rPr>
              <w:t>资源台</w:t>
            </w:r>
            <w:proofErr w:type="gramEnd"/>
            <w:r w:rsidRPr="004B4B43">
              <w:rPr>
                <w:rFonts w:ascii="宋体" w:hAnsi="宋体" w:cs="宋体" w:hint="eastAsia"/>
                <w:szCs w:val="21"/>
              </w:rPr>
              <w:t>账制度</w:t>
            </w:r>
          </w:p>
        </w:tc>
        <w:tc>
          <w:tcPr>
            <w:tcW w:w="264" w:type="pct"/>
            <w:tcBorders>
              <w:top w:val="single" w:sz="4" w:space="0" w:color="000000"/>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color w:val="000000"/>
                <w:szCs w:val="21"/>
              </w:rPr>
            </w:pPr>
            <w:r w:rsidRPr="004B4B43">
              <w:rPr>
                <w:rFonts w:ascii="宋体" w:hAnsi="宋体" w:cs="宋体" w:hint="eastAsia"/>
                <w:color w:val="000000"/>
                <w:szCs w:val="21"/>
              </w:rPr>
              <w:t>10</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left"/>
              <w:rPr>
                <w:rFonts w:ascii="宋体" w:hAnsi="宋体" w:cs="宋体"/>
                <w:szCs w:val="21"/>
              </w:rPr>
            </w:pPr>
            <w:r w:rsidRPr="004B4B43">
              <w:rPr>
                <w:rFonts w:ascii="宋体" w:hAnsi="宋体" w:cs="宋体" w:hint="eastAsia"/>
                <w:szCs w:val="21"/>
              </w:rPr>
              <w:t>按照农业农村部有关要求建立年度台账报送机制，得5分，未报送上年度台</w:t>
            </w:r>
            <w:proofErr w:type="gramStart"/>
            <w:r w:rsidRPr="004B4B43">
              <w:rPr>
                <w:rFonts w:ascii="宋体" w:hAnsi="宋体" w:cs="宋体" w:hint="eastAsia"/>
                <w:szCs w:val="21"/>
              </w:rPr>
              <w:t>账数据</w:t>
            </w:r>
            <w:proofErr w:type="gramEnd"/>
            <w:r w:rsidRPr="004B4B43">
              <w:rPr>
                <w:rFonts w:ascii="宋体" w:hAnsi="宋体" w:cs="宋体" w:hint="eastAsia"/>
                <w:szCs w:val="21"/>
              </w:rPr>
              <w:t>的本项不得分；台</w:t>
            </w:r>
            <w:proofErr w:type="gramStart"/>
            <w:r w:rsidRPr="004B4B43">
              <w:rPr>
                <w:rFonts w:ascii="宋体" w:hAnsi="宋体" w:cs="宋体" w:hint="eastAsia"/>
                <w:szCs w:val="21"/>
              </w:rPr>
              <w:t>账数据</w:t>
            </w:r>
            <w:proofErr w:type="gramEnd"/>
            <w:r w:rsidRPr="004B4B43">
              <w:rPr>
                <w:rFonts w:ascii="宋体" w:hAnsi="宋体" w:cs="宋体" w:hint="eastAsia"/>
                <w:szCs w:val="21"/>
              </w:rPr>
              <w:t>真实准确，得5分，数据发现数据严重造假的本项不得分。</w:t>
            </w:r>
          </w:p>
        </w:tc>
      </w:tr>
      <w:tr w:rsidR="004839DF" w:rsidRPr="00F32CDF" w:rsidTr="00BE0DFF">
        <w:trPr>
          <w:trHeight w:val="1396"/>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12</w:t>
            </w:r>
          </w:p>
        </w:tc>
        <w:tc>
          <w:tcPr>
            <w:tcW w:w="466" w:type="pct"/>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p>
        </w:tc>
        <w:tc>
          <w:tcPr>
            <w:tcW w:w="317"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社会效益</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建立和完善</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秸秆综合利用产业化体系</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8</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left"/>
              <w:rPr>
                <w:rFonts w:ascii="宋体" w:hAnsi="宋体" w:cs="宋体"/>
                <w:szCs w:val="21"/>
              </w:rPr>
            </w:pPr>
            <w:r w:rsidRPr="004B4B43">
              <w:rPr>
                <w:rFonts w:ascii="宋体" w:hAnsi="宋体" w:cs="宋体" w:hint="eastAsia"/>
                <w:szCs w:val="21"/>
              </w:rPr>
              <w:t>培育有代表性和经营实力的秸秆产业化利用龙头企业，支持建立秸秆还田、离田利用和收储运等社会化服务组织，每一个得1分，满分8分。</w:t>
            </w:r>
          </w:p>
        </w:tc>
      </w:tr>
      <w:tr w:rsidR="004839DF" w:rsidRPr="00F32CDF" w:rsidTr="00BE0DFF">
        <w:trPr>
          <w:trHeight w:val="1246"/>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13</w:t>
            </w:r>
          </w:p>
        </w:tc>
        <w:tc>
          <w:tcPr>
            <w:tcW w:w="466" w:type="pct"/>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建立长效机制</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4</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建立秸秆综合利用长效机制，梳理1套优惠政策清单的，得4分，未梳理不得分；梳理总结不到位，酌情扣分，扣完为止。</w:t>
            </w:r>
          </w:p>
        </w:tc>
      </w:tr>
      <w:tr w:rsidR="004839DF" w:rsidRPr="00F32CDF" w:rsidTr="00BE0DFF">
        <w:trPr>
          <w:trHeight w:val="1405"/>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14</w:t>
            </w:r>
          </w:p>
        </w:tc>
        <w:tc>
          <w:tcPr>
            <w:tcW w:w="466" w:type="pct"/>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总结县域秸秆</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综合利用技术、模式清单</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4</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总结提炼一套本县域的秸秆综合利用技术、模式清单的，得4分，</w:t>
            </w:r>
            <w:proofErr w:type="gramStart"/>
            <w:r w:rsidRPr="004B4B43">
              <w:rPr>
                <w:rFonts w:ascii="宋体" w:hAnsi="宋体" w:cs="宋体" w:hint="eastAsia"/>
                <w:szCs w:val="21"/>
              </w:rPr>
              <w:t>未总结不</w:t>
            </w:r>
            <w:proofErr w:type="gramEnd"/>
            <w:r w:rsidRPr="004B4B43">
              <w:rPr>
                <w:rFonts w:ascii="宋体" w:hAnsi="宋体" w:cs="宋体" w:hint="eastAsia"/>
                <w:szCs w:val="21"/>
              </w:rPr>
              <w:t>得分；总结不到位，酌情扣分，扣完</w:t>
            </w:r>
          </w:p>
          <w:p w:rsidR="004839DF" w:rsidRPr="004B4B43" w:rsidRDefault="004839DF" w:rsidP="00BE0DFF">
            <w:pPr>
              <w:spacing w:line="260" w:lineRule="exact"/>
              <w:rPr>
                <w:rFonts w:ascii="宋体" w:hAnsi="宋体" w:cs="宋体"/>
                <w:szCs w:val="21"/>
              </w:rPr>
            </w:pPr>
            <w:r w:rsidRPr="004B4B43">
              <w:rPr>
                <w:rFonts w:ascii="宋体" w:hAnsi="宋体" w:cs="宋体" w:hint="eastAsia"/>
                <w:szCs w:val="21"/>
              </w:rPr>
              <w:t>为止。</w:t>
            </w:r>
          </w:p>
        </w:tc>
      </w:tr>
      <w:tr w:rsidR="004839DF" w:rsidRPr="00F32CDF" w:rsidTr="00BE0DFF">
        <w:trPr>
          <w:trHeight w:val="1671"/>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15</w:t>
            </w:r>
          </w:p>
        </w:tc>
        <w:tc>
          <w:tcPr>
            <w:tcW w:w="466" w:type="pct"/>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vMerge/>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新闻宣传</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4</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r w:rsidRPr="004B4B43">
              <w:rPr>
                <w:rFonts w:ascii="宋体" w:hAnsi="宋体" w:cs="宋体" w:hint="eastAsia"/>
                <w:color w:val="000000"/>
                <w:kern w:val="0"/>
                <w:szCs w:val="21"/>
              </w:rPr>
              <w:t>积极开展秸秆综合利用和禁止露天焚烧宣传，开展1次省级以上媒体宣传，得2分，</w:t>
            </w:r>
            <w:r w:rsidRPr="004B4B43">
              <w:rPr>
                <w:rFonts w:ascii="宋体" w:hAnsi="宋体" w:cs="宋体" w:hint="eastAsia"/>
                <w:kern w:val="0"/>
                <w:szCs w:val="21"/>
              </w:rPr>
              <w:t>开展1次市级以上媒体宣传，得</w:t>
            </w:r>
            <w:r w:rsidRPr="004B4B43">
              <w:rPr>
                <w:rFonts w:ascii="宋体" w:hAnsi="宋体" w:cs="宋体"/>
                <w:kern w:val="0"/>
                <w:szCs w:val="21"/>
              </w:rPr>
              <w:t>1</w:t>
            </w:r>
            <w:r w:rsidRPr="004B4B43">
              <w:rPr>
                <w:rFonts w:ascii="宋体" w:hAnsi="宋体" w:cs="宋体" w:hint="eastAsia"/>
                <w:kern w:val="0"/>
                <w:szCs w:val="21"/>
              </w:rPr>
              <w:t>分，</w:t>
            </w:r>
            <w:r w:rsidRPr="004B4B43">
              <w:rPr>
                <w:rFonts w:ascii="宋体" w:hAnsi="宋体" w:cs="宋体" w:hint="eastAsia"/>
                <w:color w:val="000000"/>
                <w:kern w:val="0"/>
                <w:szCs w:val="21"/>
              </w:rPr>
              <w:t>未见报道的不得分；根据要求向省农业农村厅按时报送工作进展、工作简报、自评材料、总结材料等的，得2分，未按时报送的不得分。</w:t>
            </w:r>
          </w:p>
        </w:tc>
      </w:tr>
      <w:tr w:rsidR="004839DF" w:rsidRPr="00F32CDF" w:rsidTr="00BE0DFF">
        <w:trPr>
          <w:trHeight w:val="1689"/>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16</w:t>
            </w:r>
          </w:p>
        </w:tc>
        <w:tc>
          <w:tcPr>
            <w:tcW w:w="466" w:type="pct"/>
            <w:vMerge/>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c>
          <w:tcPr>
            <w:tcW w:w="31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环境效益</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未发生因秸秆</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焚烧、废弃引起的大气、</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水体污染或</w:t>
            </w:r>
          </w:p>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交通安全事故</w:t>
            </w:r>
          </w:p>
        </w:tc>
        <w:tc>
          <w:tcPr>
            <w:tcW w:w="26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10</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left"/>
              <w:rPr>
                <w:rFonts w:ascii="宋体" w:hAnsi="宋体" w:cs="宋体"/>
                <w:szCs w:val="21"/>
              </w:rPr>
            </w:pPr>
            <w:r w:rsidRPr="004B4B43">
              <w:rPr>
                <w:rFonts w:ascii="宋体" w:hAnsi="宋体" w:cs="宋体" w:hint="eastAsia"/>
                <w:szCs w:val="21"/>
              </w:rPr>
              <w:t>未发生因秸秆焚烧、废弃引起的大气、水体污染的环境监测信息，得10分；每发生一起，扣3分，扣完为止。有省级及以上环保督察通报、约谈或省级及以上媒体曝光的重大环境影响问题，此项不得分。</w:t>
            </w:r>
          </w:p>
        </w:tc>
      </w:tr>
      <w:tr w:rsidR="004839DF" w:rsidRPr="00F32CDF" w:rsidTr="00BE0DFF">
        <w:trPr>
          <w:trHeight w:val="1234"/>
          <w:jc w:val="center"/>
        </w:trPr>
        <w:tc>
          <w:tcPr>
            <w:tcW w:w="288"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17</w:t>
            </w:r>
          </w:p>
        </w:tc>
        <w:tc>
          <w:tcPr>
            <w:tcW w:w="466"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扣分项</w:t>
            </w:r>
          </w:p>
        </w:tc>
        <w:tc>
          <w:tcPr>
            <w:tcW w:w="317"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szCs w:val="21"/>
              </w:rPr>
              <w:t>违规违纪违法行为</w:t>
            </w:r>
          </w:p>
        </w:tc>
        <w:tc>
          <w:tcPr>
            <w:tcW w:w="730"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color w:val="FF0000"/>
                <w:szCs w:val="21"/>
              </w:rPr>
            </w:pPr>
            <w:r w:rsidRPr="004B4B43">
              <w:rPr>
                <w:rFonts w:ascii="宋体" w:hAnsi="宋体" w:cs="宋体" w:hint="eastAsia"/>
                <w:szCs w:val="21"/>
              </w:rPr>
              <w:t>资金使用方面存在违规违纪违法行为</w:t>
            </w:r>
          </w:p>
        </w:tc>
        <w:tc>
          <w:tcPr>
            <w:tcW w:w="2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color w:val="FF0000"/>
                <w:szCs w:val="21"/>
              </w:rPr>
            </w:pPr>
            <w:r w:rsidRPr="004B4B43">
              <w:rPr>
                <w:rFonts w:ascii="宋体" w:hAnsi="宋体" w:cs="宋体" w:hint="eastAsia"/>
                <w:color w:val="000000"/>
                <w:szCs w:val="21"/>
              </w:rPr>
              <w:t>-20</w:t>
            </w:r>
          </w:p>
        </w:tc>
        <w:tc>
          <w:tcPr>
            <w:tcW w:w="2935"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left"/>
              <w:rPr>
                <w:rFonts w:ascii="宋体" w:hAnsi="宋体" w:cs="宋体"/>
                <w:szCs w:val="21"/>
              </w:rPr>
            </w:pPr>
            <w:r w:rsidRPr="004B4B43">
              <w:rPr>
                <w:rFonts w:ascii="宋体" w:hAnsi="宋体" w:cs="宋体" w:hint="eastAsia"/>
                <w:szCs w:val="21"/>
              </w:rPr>
              <w:t>经各级监察、审计、财政监督等机构查实在资金使用方面存在违规违纪违法行为的，每发现一次扣20分，扣完为止。</w:t>
            </w:r>
          </w:p>
        </w:tc>
      </w:tr>
      <w:tr w:rsidR="004839DF" w:rsidRPr="00F32CDF" w:rsidTr="00BE0DFF">
        <w:trPr>
          <w:trHeight w:val="535"/>
          <w:jc w:val="center"/>
        </w:trPr>
        <w:tc>
          <w:tcPr>
            <w:tcW w:w="1801" w:type="pct"/>
            <w:gridSpan w:val="4"/>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b/>
                <w:szCs w:val="21"/>
              </w:rPr>
              <w:t>合计</w:t>
            </w:r>
          </w:p>
        </w:tc>
        <w:tc>
          <w:tcPr>
            <w:tcW w:w="264"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839DF" w:rsidRPr="004B4B43" w:rsidRDefault="004839DF" w:rsidP="00BE0DFF">
            <w:pPr>
              <w:spacing w:line="260" w:lineRule="exact"/>
              <w:jc w:val="center"/>
              <w:rPr>
                <w:rFonts w:ascii="宋体" w:hAnsi="宋体" w:cs="宋体"/>
                <w:szCs w:val="21"/>
              </w:rPr>
            </w:pPr>
            <w:r w:rsidRPr="004B4B43">
              <w:rPr>
                <w:rFonts w:ascii="宋体" w:hAnsi="宋体" w:cs="宋体" w:hint="eastAsia"/>
                <w:b/>
                <w:szCs w:val="21"/>
              </w:rPr>
              <w:t>100</w:t>
            </w:r>
          </w:p>
        </w:tc>
        <w:tc>
          <w:tcPr>
            <w:tcW w:w="293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4839DF" w:rsidRPr="004B4B43" w:rsidRDefault="004839DF" w:rsidP="00BE0DFF">
            <w:pPr>
              <w:spacing w:line="260" w:lineRule="exact"/>
              <w:rPr>
                <w:rFonts w:ascii="宋体" w:hAnsi="宋体" w:cs="宋体"/>
                <w:szCs w:val="21"/>
              </w:rPr>
            </w:pPr>
          </w:p>
        </w:tc>
      </w:tr>
    </w:tbl>
    <w:p w:rsidR="004839DF" w:rsidRDefault="004839DF" w:rsidP="004839DF">
      <w:pPr>
        <w:spacing w:line="620" w:lineRule="exact"/>
        <w:sectPr w:rsidR="004839DF" w:rsidSect="007A6486">
          <w:headerReference w:type="default" r:id="rId7"/>
          <w:footerReference w:type="even" r:id="rId8"/>
          <w:footerReference w:type="default" r:id="rId9"/>
          <w:pgSz w:w="11906" w:h="16838"/>
          <w:pgMar w:top="1814" w:right="1531" w:bottom="1758" w:left="1531" w:header="851" w:footer="1701" w:gutter="0"/>
          <w:pgNumType w:fmt="numberInDash"/>
          <w:cols w:space="720"/>
          <w:docGrid w:linePitch="634"/>
        </w:sectPr>
      </w:pPr>
    </w:p>
    <w:p w:rsidR="007211DF" w:rsidRDefault="008233A3"/>
    <w:sectPr w:rsidR="00721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3A3" w:rsidRDefault="008233A3">
      <w:r>
        <w:separator/>
      </w:r>
    </w:p>
  </w:endnote>
  <w:endnote w:type="continuationSeparator" w:id="0">
    <w:p w:rsidR="008233A3" w:rsidRDefault="0082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86" w:rsidRPr="004B4B43" w:rsidRDefault="004839DF" w:rsidP="00F32CDF">
    <w:pPr>
      <w:pStyle w:val="a3"/>
      <w:framePr w:wrap="around" w:vAnchor="text" w:hAnchor="margin" w:xAlign="outside" w:y="1"/>
      <w:ind w:leftChars="100" w:left="210" w:rightChars="100" w:right="210"/>
      <w:rPr>
        <w:rStyle w:val="a5"/>
        <w:rFonts w:ascii="宋体" w:hAnsi="宋体"/>
        <w:sz w:val="28"/>
        <w:szCs w:val="28"/>
      </w:rPr>
    </w:pPr>
    <w:r w:rsidRPr="004B4B43">
      <w:rPr>
        <w:rFonts w:ascii="宋体" w:hAnsi="宋体"/>
        <w:sz w:val="28"/>
        <w:szCs w:val="28"/>
      </w:rPr>
      <w:fldChar w:fldCharType="begin"/>
    </w:r>
    <w:r w:rsidRPr="004B4B43">
      <w:rPr>
        <w:rStyle w:val="a5"/>
        <w:rFonts w:ascii="宋体" w:hAnsi="宋体"/>
        <w:sz w:val="28"/>
        <w:szCs w:val="28"/>
      </w:rPr>
      <w:instrText xml:space="preserve">PAGE  </w:instrText>
    </w:r>
    <w:r w:rsidRPr="004B4B43">
      <w:rPr>
        <w:rFonts w:ascii="宋体" w:hAnsi="宋体"/>
        <w:sz w:val="28"/>
        <w:szCs w:val="28"/>
      </w:rPr>
      <w:fldChar w:fldCharType="separate"/>
    </w:r>
    <w:r>
      <w:rPr>
        <w:rStyle w:val="a5"/>
        <w:rFonts w:ascii="宋体" w:hAnsi="宋体"/>
        <w:noProof/>
        <w:sz w:val="28"/>
        <w:szCs w:val="28"/>
      </w:rPr>
      <w:t>- 12 -</w:t>
    </w:r>
    <w:r w:rsidRPr="004B4B43">
      <w:rPr>
        <w:rFonts w:ascii="宋体" w:hAnsi="宋体"/>
        <w:sz w:val="28"/>
        <w:szCs w:val="28"/>
      </w:rPr>
      <w:fldChar w:fldCharType="end"/>
    </w:r>
  </w:p>
  <w:p w:rsidR="007A6486" w:rsidRDefault="008233A3" w:rsidP="00F32CD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CDF" w:rsidRPr="00F32CDF" w:rsidRDefault="004839DF" w:rsidP="00F32CDF">
    <w:pPr>
      <w:pStyle w:val="a3"/>
      <w:ind w:leftChars="100" w:left="210" w:rightChars="100" w:right="210"/>
      <w:jc w:val="right"/>
      <w:rPr>
        <w:rFonts w:ascii="宋体" w:hAnsi="宋体"/>
        <w:sz w:val="28"/>
        <w:szCs w:val="28"/>
      </w:rPr>
    </w:pPr>
    <w:r w:rsidRPr="00F32CDF">
      <w:fldChar w:fldCharType="begin"/>
    </w:r>
    <w:r>
      <w:instrText>PAGE   \* MERGEFORMAT</w:instrText>
    </w:r>
    <w:r w:rsidRPr="00F32CDF">
      <w:fldChar w:fldCharType="separate"/>
    </w:r>
    <w:r w:rsidR="00D71FC1" w:rsidRPr="00D71FC1">
      <w:rPr>
        <w:rFonts w:ascii="宋体" w:hAnsi="宋体"/>
        <w:noProof/>
        <w:sz w:val="28"/>
        <w:szCs w:val="28"/>
        <w:lang w:val="zh-CN"/>
      </w:rPr>
      <w:t>3</w:t>
    </w:r>
    <w:r w:rsidRPr="00F32CDF">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3A3" w:rsidRDefault="008233A3">
      <w:r>
        <w:separator/>
      </w:r>
    </w:p>
  </w:footnote>
  <w:footnote w:type="continuationSeparator" w:id="0">
    <w:p w:rsidR="008233A3" w:rsidRDefault="00823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486" w:rsidRDefault="008233A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9DF"/>
    <w:rsid w:val="004839DF"/>
    <w:rsid w:val="005C1B9E"/>
    <w:rsid w:val="00783854"/>
    <w:rsid w:val="008233A3"/>
    <w:rsid w:val="00D71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9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839DF"/>
    <w:pPr>
      <w:tabs>
        <w:tab w:val="center" w:pos="4153"/>
        <w:tab w:val="right" w:pos="8306"/>
      </w:tabs>
      <w:snapToGrid w:val="0"/>
      <w:jc w:val="left"/>
    </w:pPr>
    <w:rPr>
      <w:sz w:val="18"/>
    </w:rPr>
  </w:style>
  <w:style w:type="character" w:customStyle="1" w:styleId="Char">
    <w:name w:val="页脚 Char"/>
    <w:basedOn w:val="a0"/>
    <w:link w:val="a3"/>
    <w:uiPriority w:val="99"/>
    <w:rsid w:val="004839DF"/>
    <w:rPr>
      <w:rFonts w:ascii="Times New Roman" w:eastAsia="宋体" w:hAnsi="Times New Roman" w:cs="Times New Roman"/>
      <w:sz w:val="18"/>
      <w:szCs w:val="20"/>
    </w:rPr>
  </w:style>
  <w:style w:type="paragraph" w:styleId="a4">
    <w:name w:val="header"/>
    <w:basedOn w:val="a"/>
    <w:link w:val="Char0"/>
    <w:qFormat/>
    <w:rsid w:val="004839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qFormat/>
    <w:rsid w:val="004839DF"/>
    <w:rPr>
      <w:rFonts w:ascii="Times New Roman" w:eastAsia="宋体" w:hAnsi="Times New Roman" w:cs="Times New Roman"/>
      <w:sz w:val="18"/>
      <w:szCs w:val="20"/>
    </w:rPr>
  </w:style>
  <w:style w:type="character" w:styleId="a5">
    <w:name w:val="page number"/>
    <w:basedOn w:val="a0"/>
    <w:qFormat/>
    <w:rsid w:val="004839DF"/>
  </w:style>
  <w:style w:type="paragraph" w:styleId="a6">
    <w:name w:val="Normal (Web)"/>
    <w:basedOn w:val="a"/>
    <w:qFormat/>
    <w:rsid w:val="004839DF"/>
    <w:pPr>
      <w:spacing w:beforeAutospacing="1" w:afterAutospacing="1"/>
      <w:jc w:val="left"/>
    </w:pPr>
    <w:rPr>
      <w:rFonts w:ascii="Calibri" w:hAnsi="Calibr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9D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839DF"/>
    <w:pPr>
      <w:tabs>
        <w:tab w:val="center" w:pos="4153"/>
        <w:tab w:val="right" w:pos="8306"/>
      </w:tabs>
      <w:snapToGrid w:val="0"/>
      <w:jc w:val="left"/>
    </w:pPr>
    <w:rPr>
      <w:sz w:val="18"/>
    </w:rPr>
  </w:style>
  <w:style w:type="character" w:customStyle="1" w:styleId="Char">
    <w:name w:val="页脚 Char"/>
    <w:basedOn w:val="a0"/>
    <w:link w:val="a3"/>
    <w:uiPriority w:val="99"/>
    <w:rsid w:val="004839DF"/>
    <w:rPr>
      <w:rFonts w:ascii="Times New Roman" w:eastAsia="宋体" w:hAnsi="Times New Roman" w:cs="Times New Roman"/>
      <w:sz w:val="18"/>
      <w:szCs w:val="20"/>
    </w:rPr>
  </w:style>
  <w:style w:type="paragraph" w:styleId="a4">
    <w:name w:val="header"/>
    <w:basedOn w:val="a"/>
    <w:link w:val="Char0"/>
    <w:qFormat/>
    <w:rsid w:val="004839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qFormat/>
    <w:rsid w:val="004839DF"/>
    <w:rPr>
      <w:rFonts w:ascii="Times New Roman" w:eastAsia="宋体" w:hAnsi="Times New Roman" w:cs="Times New Roman"/>
      <w:sz w:val="18"/>
      <w:szCs w:val="20"/>
    </w:rPr>
  </w:style>
  <w:style w:type="character" w:styleId="a5">
    <w:name w:val="page number"/>
    <w:basedOn w:val="a0"/>
    <w:qFormat/>
    <w:rsid w:val="004839DF"/>
  </w:style>
  <w:style w:type="paragraph" w:styleId="a6">
    <w:name w:val="Normal (Web)"/>
    <w:basedOn w:val="a"/>
    <w:qFormat/>
    <w:rsid w:val="004839DF"/>
    <w:pPr>
      <w:spacing w:beforeAutospacing="1"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MLN</dc:creator>
  <cp:keywords/>
  <dc:description/>
  <cp:lastModifiedBy>super</cp:lastModifiedBy>
  <cp:revision>2</cp:revision>
  <dcterms:created xsi:type="dcterms:W3CDTF">2021-05-12T03:26:00Z</dcterms:created>
  <dcterms:modified xsi:type="dcterms:W3CDTF">2021-05-12T06:05:00Z</dcterms:modified>
</cp:coreProperties>
</file>