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上海市202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中央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农业资源及生态保护资金</w:t>
      </w:r>
    </w:p>
    <w:p>
      <w:pPr>
        <w:snapToGrid w:val="0"/>
        <w:spacing w:line="312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分配实施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方案</w:t>
      </w:r>
    </w:p>
    <w:p>
      <w:pPr>
        <w:adjustRightInd/>
        <w:snapToGrid w:val="0"/>
        <w:spacing w:beforeLines="0" w:afterLines="0" w:line="360" w:lineRule="auto"/>
        <w:ind w:firstLine="0"/>
        <w:jc w:val="both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根据《财政部关于下达202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年农业资源及生态保护补助资金预算的通知》（财农〔202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号）、农业农村部 财政部《关于做好202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年农业生产发展等项目实施工作的通知》（农计财发〔202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号）等有关精神，中央财政下达上海市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年农业资源及生态保护补助资金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3143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万元，用于完成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耕地质量提升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渔业资源保护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、农作物秸秆综合利用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以及秸秆综合利用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。上海市农业农村委员会会同上海市财政局，结合实际情况，制定了202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年农业资源及生态保护资金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分配实施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方案。</w:t>
      </w:r>
    </w:p>
    <w:p>
      <w:pPr>
        <w:snapToGrid w:val="0"/>
        <w:spacing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</w:t>
      </w:r>
      <w:r>
        <w:rPr>
          <w:rFonts w:hint="eastAsia" w:ascii="黑体" w:eastAsia="黑体"/>
          <w:sz w:val="32"/>
          <w:szCs w:val="32"/>
          <w:lang w:eastAsia="zh-CN"/>
        </w:rPr>
        <w:t>基本</w:t>
      </w:r>
      <w:r>
        <w:rPr>
          <w:rFonts w:hint="eastAsia" w:ascii="黑体" w:eastAsia="黑体"/>
          <w:sz w:val="32"/>
          <w:szCs w:val="32"/>
        </w:rPr>
        <w:t>思路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推动农业可持续发展，确立发展绿色农业就是保护生态的观念，切实保护耕地、水生生物资源，强化农业生态环境治理，支持绿色循环农业发展，加快形成农业绿色生产方式，加快推进农业增产导向转向提质导向。</w:t>
      </w:r>
    </w:p>
    <w:p>
      <w:pPr>
        <w:snapToGrid w:val="0"/>
        <w:spacing w:beforeLines="0" w:afterLines="0"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二、</w:t>
      </w:r>
      <w:r>
        <w:rPr>
          <w:rFonts w:hint="eastAsia" w:ascii="黑体" w:eastAsia="黑体"/>
          <w:sz w:val="32"/>
          <w:szCs w:val="32"/>
        </w:rPr>
        <w:t>资金安排及</w:t>
      </w:r>
      <w:r>
        <w:rPr>
          <w:rFonts w:hint="eastAsia" w:ascii="黑体" w:eastAsia="黑体"/>
          <w:sz w:val="32"/>
          <w:szCs w:val="32"/>
          <w:lang w:eastAsia="zh-CN"/>
        </w:rPr>
        <w:t>项目实施内容</w:t>
      </w:r>
    </w:p>
    <w:p>
      <w:pPr>
        <w:numPr>
          <w:ilvl w:val="0"/>
          <w:numId w:val="0"/>
        </w:numPr>
        <w:snapToGrid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</w:rPr>
        <w:t>（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一</w:t>
      </w:r>
      <w:r>
        <w:rPr>
          <w:rFonts w:hint="eastAsia" w:ascii="楷体_GB2312" w:eastAsia="楷体_GB2312"/>
          <w:b/>
          <w:sz w:val="32"/>
          <w:szCs w:val="32"/>
        </w:rPr>
        <w:t>）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开展绿色种养循环农业试点，安排资金2000万元</w:t>
      </w:r>
      <w:r>
        <w:rPr>
          <w:rFonts w:hint="eastAsia" w:ascii="楷体_GB2312" w:eastAsia="楷体_GB2312"/>
          <w:b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在我市畜禽主产区、粮食蔬菜等生产区域开展粪肥就地消纳、就近还田奖补试点，打通种养循环堵点，促进粪肥还田，助力农业绿色高质量发展。以光明集团、崇明区、嘉定区、金山区为重点，辐射带动其他区绿色种养循环。安排粪肥还田面积20万亩以上。通过试点构建1-2种粪肥还田组织运行模式，培育若干个粪肥收集、处理和施用等一体的专业化服务组织，带动试点区域粪肥基本还田，试点区实现畜禽粪污综合利用率到达90%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二</w:t>
      </w:r>
      <w:r>
        <w:rPr>
          <w:rFonts w:hint="eastAsia" w:ascii="楷体_GB2312" w:eastAsia="楷体_GB2312"/>
          <w:b/>
          <w:sz w:val="32"/>
          <w:szCs w:val="32"/>
        </w:rPr>
        <w:t>）开展农作物秸秆综合利用，安排资金2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07</w:t>
      </w:r>
      <w:r>
        <w:rPr>
          <w:rFonts w:hint="eastAsia" w:ascii="楷体_GB2312" w:eastAsia="楷体_GB2312"/>
          <w:b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资金主要用于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金山区推进秸秆离田利用，重点支持基料化、饲料化、燃料化等秸秆产业化利用模式，形成可复制、可推广的区域典型模式。秸秆重点区项目拟重点扶持3家具有一定基础，技术力量较强，主动性高的秸秆收集企业，加强专业化收储装备如打捆机、装载机的配置，进一步提高秸秆裹包田间运输能力，构建覆盖全区的秸秆收储和供应网络，逐步形成市场化的秸秆收储和供应能力。通过本项目实施，全区粮油作物秸秆离田利用率将得到进一步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综合利用率达到97%以上。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</w:rPr>
        <w:t>（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三</w:t>
      </w:r>
      <w:r>
        <w:rPr>
          <w:rFonts w:hint="eastAsia" w:ascii="楷体_GB2312" w:eastAsia="楷体_GB2312"/>
          <w:b/>
          <w:sz w:val="32"/>
          <w:szCs w:val="32"/>
        </w:rPr>
        <w:t>）加强耕地保护与质量提升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，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安排资金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390万元</w:t>
      </w:r>
      <w:r>
        <w:rPr>
          <w:rFonts w:hint="eastAsia" w:ascii="楷体_GB2312" w:eastAsia="楷体_GB2312"/>
          <w:b/>
          <w:sz w:val="32"/>
          <w:szCs w:val="32"/>
        </w:rPr>
        <w:t>开展化肥减量增效示范。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一是在金山区、崇明区开展两个化肥减量增效示范县创建工作，安排资金350万元。资金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主要用于土壤植株测试、作物田间肥效试验、施肥调查、示范推广化肥减量增效技术、肥料包装废弃物回收处理、培训宣传和项目管理等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；通过项目实施，实现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化肥用量减少3%以上，化肥利用率40%以上。二是安排资金40万元，委托上海市农业技术推广服务中心在</w:t>
      </w:r>
      <w:r>
        <w:rPr>
          <w:rFonts w:hint="eastAsia" w:ascii="仿宋_GB2312" w:hAnsi="仿宋_GB2312" w:eastAsia="仿宋_GB2312" w:cs="仿宋_GB2312"/>
          <w:sz w:val="32"/>
          <w:szCs w:val="32"/>
        </w:rPr>
        <w:t>闵行、嘉定、宝山、浦东、奉贤、松江和青浦7个区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田间试验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30个以及项目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评审、验收等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四</w:t>
      </w:r>
      <w:r>
        <w:rPr>
          <w:rFonts w:hint="eastAsia" w:ascii="楷体_GB2312" w:eastAsia="楷体_GB2312"/>
          <w:b/>
          <w:sz w:val="32"/>
          <w:szCs w:val="32"/>
        </w:rPr>
        <w:t>）开展耕地质量等级调查评价，安排资金14万元。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组织9个区开展县域耕地质量等级变更评价数据库更新，为评价单元赋值，更新县域耕地资源管理信息系统，开展耕地质量等级更新评价，制作评价成果图件等工作。按照每个区1万元的标准，安排中央补贴资金9万元。二是组织1个区开展补充耕地质量评定试点工作，对上一年度的占补平衡补充耕地项目，按照《耕地质量等级》国家标准进行耕地质量评定。安排中央补贴资金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五</w:t>
      </w:r>
      <w:r>
        <w:rPr>
          <w:rFonts w:hint="eastAsia" w:ascii="楷体_GB2312" w:eastAsia="楷体_GB2312"/>
          <w:b/>
          <w:sz w:val="32"/>
          <w:szCs w:val="32"/>
        </w:rPr>
        <w:t>）继续开展渔业资源增殖放流工作，安排资金532万元。</w:t>
      </w:r>
      <w:r>
        <w:rPr>
          <w:rFonts w:hint="eastAsia" w:eastAsia="仿宋_GB2312"/>
          <w:sz w:val="32"/>
          <w:szCs w:val="32"/>
        </w:rPr>
        <w:t>资金用于采购增殖放流种苗、组织增殖放流活动以及经济物种放流效果监测和绩效评估等。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（一）市农业农村委将相关任务分解落实，明确项目任务责任区或实施主体，并下达任务清单。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（二）市农业农村委和市财政局将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协作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形成权责明确、各司其职、齐抓共管的工作格局，充分参与方案制定、资金安排、绩效评价等工作。坚持积极稳妥的基本原则，边推进改革边完善制度，加强对基层的工作指导和监督，严防资金失控、任务落空。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（三）市农业农村委和市财政局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健全项目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执行调度督导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机制和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考核机制。加强信息沟通，及时掌握项目执行和资金使用情况，相关区农业农村委、区财政局和任务实施主体向市农业农村委、市财政局报送项目阶段性执行情况。市农业农村委、市财政局按照要求向农业农村部、财政部汇总报送项目阶段性执行情况，并对项目资金使用组织开展绩效评价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44107"/>
    <w:rsid w:val="0774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2021-07-26T07:35:00Z</dcterms:created>
  <dc:creator>刘慧颖</dc:creator>
  <cp:lastModifiedBy>刘慧颖</cp:lastModifiedBy>
  <dcterms:modified xsi:type="dcterms:W3CDTF">2021-07-26T07:35:37Z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