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仿宋_GB2312" w:eastAsia="仿宋_GB2312"/>
          <w:lang w:eastAsia="zh-CN"/>
        </w:rPr>
      </w:pPr>
    </w:p>
    <w:p>
      <w:pPr>
        <w:spacing w:line="560" w:lineRule="exact"/>
        <w:ind w:firstLine="0" w:firstLineChars="0"/>
        <w:jc w:val="center"/>
        <w:rPr>
          <w:rFonts w:hint="eastAsia" w:ascii="仿宋_GB2312" w:eastAsia="仿宋_GB2312"/>
          <w:lang w:eastAsia="zh-CN"/>
        </w:rPr>
      </w:pPr>
    </w:p>
    <w:p>
      <w:pPr>
        <w:spacing w:line="560" w:lineRule="exact"/>
        <w:ind w:firstLine="0" w:firstLineChars="0"/>
        <w:jc w:val="center"/>
        <w:rPr>
          <w:rFonts w:hint="eastAsia" w:ascii="仿宋_GB2312" w:eastAsia="仿宋_GB2312"/>
          <w:lang w:eastAsia="zh-CN"/>
        </w:rPr>
      </w:pPr>
    </w:p>
    <w:p>
      <w:pPr>
        <w:spacing w:line="560" w:lineRule="exact"/>
        <w:ind w:firstLine="0" w:firstLineChars="0"/>
        <w:jc w:val="center"/>
        <w:rPr>
          <w:rFonts w:hint="eastAsia" w:ascii="仿宋_GB2312" w:eastAsia="仿宋_GB2312"/>
          <w:lang w:eastAsia="zh-CN"/>
        </w:rPr>
      </w:pPr>
    </w:p>
    <w:p>
      <w:pPr>
        <w:spacing w:line="560" w:lineRule="exact"/>
        <w:ind w:firstLine="0" w:firstLineChars="0"/>
        <w:jc w:val="center"/>
        <w:rPr>
          <w:rFonts w:hint="eastAsia" w:ascii="仿宋_GB2312" w:eastAsia="仿宋_GB2312"/>
          <w:lang w:eastAsia="zh-CN"/>
        </w:rPr>
      </w:pPr>
    </w:p>
    <w:p>
      <w:pPr>
        <w:spacing w:line="560" w:lineRule="exact"/>
        <w:ind w:firstLine="0" w:firstLineChars="0"/>
        <w:jc w:val="center"/>
        <w:rPr>
          <w:rFonts w:hint="eastAsia" w:ascii="仿宋_GB2312" w:eastAsia="仿宋_GB2312"/>
          <w:lang w:eastAsia="zh-CN"/>
        </w:rPr>
      </w:pPr>
    </w:p>
    <w:p>
      <w:pPr>
        <w:spacing w:line="560" w:lineRule="exact"/>
        <w:ind w:firstLine="0" w:firstLineChars="0"/>
        <w:jc w:val="center"/>
        <w:rPr>
          <w:rFonts w:hint="eastAsia" w:ascii="仿宋_GB2312" w:eastAsia="仿宋_GB2312"/>
          <w:lang w:eastAsia="zh-CN"/>
        </w:rPr>
      </w:pPr>
    </w:p>
    <w:p>
      <w:pPr>
        <w:spacing w:line="560" w:lineRule="exact"/>
        <w:ind w:firstLine="0" w:firstLineChars="0"/>
        <w:jc w:val="center"/>
        <w:rPr>
          <w:rFonts w:hint="eastAsia" w:ascii="仿宋_GB2312" w:hAnsi="仿宋_GB2312" w:eastAsia="仿宋_GB2312" w:cs="仿宋_GB2312"/>
          <w:lang w:val="en-US" w:eastAsia="zh-CN"/>
        </w:rPr>
      </w:pPr>
      <w:r>
        <w:rPr>
          <w:rFonts w:hint="eastAsia" w:ascii="仿宋_GB2312" w:eastAsia="仿宋_GB2312"/>
          <w:lang w:eastAsia="zh-CN"/>
        </w:rPr>
        <w:t>湘农机产业</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2021</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47号</w:t>
      </w:r>
    </w:p>
    <w:p>
      <w:pPr>
        <w:spacing w:line="560" w:lineRule="exact"/>
        <w:ind w:firstLine="0" w:firstLineChars="0"/>
        <w:jc w:val="center"/>
        <w:rPr>
          <w:rFonts w:hint="default" w:ascii="仿宋_GB2312" w:hAnsi="仿宋_GB2312" w:eastAsia="仿宋_GB2312" w:cs="仿宋_GB2312"/>
          <w:lang w:val="en-US" w:eastAsia="zh-CN"/>
        </w:rPr>
      </w:pPr>
    </w:p>
    <w:p>
      <w:pPr>
        <w:spacing w:line="56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关于开展湖南省2021年第二批农机购置补贴新进机具现场集中演示评价的通知</w:t>
      </w:r>
    </w:p>
    <w:p>
      <w:pPr>
        <w:spacing w:line="640" w:lineRule="exact"/>
        <w:ind w:firstLine="0" w:firstLineChars="0"/>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_GB2312" w:eastAsia="仿宋_GB2312"/>
        </w:rPr>
      </w:pPr>
      <w:r>
        <w:rPr>
          <w:rFonts w:hint="eastAsia" w:ascii="仿宋_GB2312" w:eastAsia="仿宋_GB2312"/>
        </w:rPr>
        <w:t>各有关农机生产企业：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eastAsia="仿宋_GB2312"/>
        </w:rPr>
        <w:t>根据</w:t>
      </w:r>
      <w:r>
        <w:rPr>
          <w:rFonts w:ascii="仿宋_GB2312" w:eastAsia="仿宋_GB2312"/>
        </w:rPr>
        <w:t>2021</w:t>
      </w:r>
      <w:r>
        <w:rPr>
          <w:rFonts w:hint="eastAsia" w:ascii="仿宋_GB2312" w:eastAsia="仿宋_GB2312"/>
        </w:rPr>
        <w:t>年</w:t>
      </w:r>
      <w:r>
        <w:rPr>
          <w:rFonts w:ascii="仿宋_GB2312" w:eastAsia="仿宋_GB2312"/>
        </w:rPr>
        <w:t>6</w:t>
      </w:r>
      <w:r>
        <w:rPr>
          <w:rFonts w:hint="eastAsia" w:ascii="仿宋_GB2312" w:eastAsia="仿宋_GB2312"/>
        </w:rPr>
        <w:t>月</w:t>
      </w:r>
      <w:r>
        <w:rPr>
          <w:rFonts w:ascii="仿宋_GB2312" w:eastAsia="仿宋_GB2312"/>
        </w:rPr>
        <w:t>23</w:t>
      </w:r>
      <w:r>
        <w:rPr>
          <w:rFonts w:hint="eastAsia" w:ascii="仿宋_GB2312" w:eastAsia="仿宋_GB2312"/>
        </w:rPr>
        <w:t>日湖南省农业农村厅《关于</w:t>
      </w:r>
      <w:r>
        <w:rPr>
          <w:rFonts w:ascii="仿宋_GB2312" w:eastAsia="仿宋_GB2312"/>
        </w:rPr>
        <w:t>湖南省2021年农机购置补贴产品投档的通告</w:t>
      </w:r>
      <w:r>
        <w:rPr>
          <w:rFonts w:hint="eastAsia" w:ascii="仿宋_GB2312" w:eastAsia="仿宋_GB2312"/>
        </w:rPr>
        <w:t>》要求，经研究，我中心定于11月29日至12月3日开展湖南省2021年第二批农机购置补贴新进机具现场集中演示评价。现将有关事项通知如下。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黑体" w:hAnsi="黑体" w:eastAsia="黑体"/>
        </w:rPr>
      </w:pPr>
      <w:r>
        <w:rPr>
          <w:rFonts w:hint="eastAsia" w:ascii="黑体" w:hAnsi="黑体" w:eastAsia="黑体"/>
        </w:rPr>
        <w:t>一、报到时间及地点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黑体" w:hAnsi="黑体" w:eastAsia="黑体"/>
        </w:rPr>
      </w:pPr>
      <w:r>
        <w:rPr>
          <w:rFonts w:hint="eastAsia" w:ascii="仿宋_GB2312" w:eastAsia="仿宋_GB2312"/>
        </w:rPr>
        <w:t>时间：12月1日9时至17时；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rPr>
      </w:pPr>
      <w:r>
        <w:rPr>
          <w:rFonts w:hint="eastAsia" w:ascii="仿宋_GB2312" w:eastAsia="仿宋_GB2312"/>
        </w:rPr>
        <w:t>地点</w:t>
      </w:r>
      <w:r>
        <w:rPr>
          <w:rFonts w:hint="eastAsia" w:ascii="仿宋_GB2312" w:hAnsi="仿宋_GB2312" w:eastAsia="仿宋_GB2312" w:cs="仿宋_GB2312"/>
        </w:rPr>
        <w:t>：湘潭九华农机购置补贴办公室（湖南农机产业园湘潭国际会展中心内）。除谷物烘干机和农用连栋钢架大棚2类安装类机具外的其他生产企业须现场报到，但疫情中高风险地区生产企业须委托湖南本地人员现场报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黑体" w:hAnsi="黑体" w:eastAsia="黑体" w:cs="黑体"/>
        </w:rPr>
        <w:sectPr>
          <w:headerReference r:id="rId7" w:type="first"/>
          <w:footerReference r:id="rId10" w:type="first"/>
          <w:headerReference r:id="rId5" w:type="default"/>
          <w:footerReference r:id="rId8" w:type="default"/>
          <w:headerReference r:id="rId6" w:type="even"/>
          <w:footerReference r:id="rId9" w:type="even"/>
          <w:pgSz w:w="11906" w:h="16838"/>
          <w:pgMar w:top="1587" w:right="1588" w:bottom="1417" w:left="158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黑体" w:hAnsi="黑体" w:eastAsia="黑体" w:cs="黑体"/>
        </w:rPr>
      </w:pPr>
      <w:r>
        <w:rPr>
          <w:rFonts w:hint="eastAsia" w:ascii="黑体" w:hAnsi="黑体" w:eastAsia="黑体" w:cs="黑体"/>
        </w:rPr>
        <w:t>二、演示评价时间及地点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textAlignment w:val="auto"/>
        <w:rPr>
          <w:rFonts w:hint="eastAsia" w:ascii="仿宋_GB2312" w:hAnsi="仿宋_GB2312" w:eastAsia="仿宋_GB2312" w:cs="仿宋_GB2312"/>
          <w:b/>
          <w:bCs w:val="0"/>
        </w:rPr>
      </w:pPr>
      <w:r>
        <w:rPr>
          <w:rFonts w:hint="eastAsia" w:ascii="仿宋_GB2312" w:hAnsi="仿宋_GB2312" w:eastAsia="仿宋_GB2312" w:cs="仿宋_GB2312"/>
          <w:b/>
          <w:bCs w:val="0"/>
        </w:rPr>
        <w:t>（一）谷物烘干机和农用连栋钢架大棚2个安装类机具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b/>
        </w:rPr>
      </w:pPr>
      <w:r>
        <w:rPr>
          <w:rFonts w:hint="eastAsia" w:ascii="仿宋_GB2312" w:hAnsi="仿宋_GB2312" w:eastAsia="仿宋_GB2312" w:cs="仿宋_GB2312"/>
        </w:rPr>
        <w:t>时间：11月29日至12月3日；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rPr>
      </w:pPr>
      <w:r>
        <w:rPr>
          <w:rFonts w:hint="eastAsia" w:ascii="仿宋_GB2312" w:hAnsi="仿宋_GB2312" w:eastAsia="仿宋_GB2312" w:cs="仿宋_GB2312"/>
        </w:rPr>
        <w:t>地点：湖南省境内安装地。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textAlignment w:val="auto"/>
        <w:rPr>
          <w:rFonts w:hint="eastAsia" w:ascii="仿宋_GB2312" w:hAnsi="仿宋_GB2312" w:eastAsia="仿宋_GB2312" w:cs="仿宋_GB2312"/>
          <w:b/>
          <w:bCs w:val="0"/>
        </w:rPr>
      </w:pPr>
      <w:r>
        <w:rPr>
          <w:rFonts w:hint="eastAsia" w:ascii="仿宋_GB2312" w:hAnsi="仿宋_GB2312" w:eastAsia="仿宋_GB2312" w:cs="仿宋_GB2312"/>
          <w:b/>
          <w:bCs w:val="0"/>
        </w:rPr>
        <w:t>（二）其他非安装类机具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rPr>
      </w:pPr>
      <w:r>
        <w:rPr>
          <w:rFonts w:hint="eastAsia" w:ascii="仿宋_GB2312" w:hAnsi="仿宋_GB2312" w:eastAsia="仿宋_GB2312" w:cs="仿宋_GB2312"/>
        </w:rPr>
        <w:t>时间：12月2日9时至15日17时；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rPr>
      </w:pPr>
      <w:r>
        <w:rPr>
          <w:rFonts w:hint="eastAsia" w:ascii="仿宋_GB2312" w:hAnsi="仿宋_GB2312" w:eastAsia="仿宋_GB2312" w:cs="仿宋_GB2312"/>
        </w:rPr>
        <w:t>演示地点：湘潭市九华区；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 w:hAnsi="仿宋" w:cs="Times New Roman"/>
        </w:rPr>
      </w:pPr>
      <w:r>
        <w:rPr>
          <w:rFonts w:hint="eastAsia" w:ascii="仿宋_GB2312" w:hAnsi="仿宋_GB2312" w:eastAsia="仿宋_GB2312" w:cs="仿宋_GB2312"/>
        </w:rPr>
        <w:t>机具存放点：湖南农机产业园湘潭国际会展中心。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textAlignment w:val="auto"/>
        <w:rPr>
          <w:rFonts w:ascii="仿宋_GB2312" w:eastAsia="仿宋_GB2312"/>
        </w:rPr>
      </w:pPr>
      <w:r>
        <w:rPr>
          <w:rFonts w:hint="eastAsia" w:ascii="黑体" w:hAnsi="黑体" w:eastAsia="黑体"/>
          <w:b/>
        </w:rPr>
        <w:t>三、</w:t>
      </w:r>
      <w:r>
        <w:rPr>
          <w:rFonts w:hint="eastAsia" w:ascii="黑体" w:hAnsi="黑体" w:eastAsia="黑体"/>
        </w:rPr>
        <w:t>演示评价范围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rPr>
      </w:pPr>
      <w:r>
        <w:rPr>
          <w:rFonts w:hint="eastAsia" w:ascii="仿宋_GB2312" w:hAnsi="仿宋_GB2312" w:eastAsia="仿宋_GB2312" w:cs="仿宋_GB2312"/>
        </w:rPr>
        <w:t>本次演示评价包括幅宽2m及以上履带自走式旋耕机、高速水稻插秧机、植保无人驾驶航空器、履带式拖拉机、谷物烘干机、农用连栋钢架大棚和部分轮式拖拉机等7个品目126个产品。其中，履带式拖拉机须悬挂旋耕机；谷物烘干机和农用连栋钢架大棚在湖南省境内安装地实际查看演示情况，谷物烘干机须在专家组到达前提前6小时进行谷物烘干，提前派人记录谷物含水量以及烘干起始时间。具体演示产品见附件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黑体" w:hAnsi="黑体" w:eastAsia="黑体"/>
        </w:rPr>
      </w:pPr>
      <w:r>
        <w:rPr>
          <w:rFonts w:hint="eastAsia" w:ascii="黑体" w:hAnsi="黑体" w:eastAsia="黑体"/>
        </w:rPr>
        <w:t>四、其他事项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eastAsia="仿宋_GB2312"/>
        </w:rPr>
        <w:t>1.除评价专家和工作人员外，其他人员食宿自理。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eastAsia="仿宋_GB2312"/>
        </w:rPr>
        <w:t>2.本次演示评价结果将作为产品归档依据，演示不通过的产品不予归档；年度内两次参加我省集中演示评价未通过的产品，当年不再归档。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eastAsia="仿宋_GB2312"/>
        </w:rPr>
        <w:t>3.请相关生产企业提前准备此次参加演示评价产品的推广鉴定证书、推广鉴定报告、检验报告等资料的复印件，供专家现场查看。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eastAsia="仿宋_GB2312"/>
        </w:rPr>
        <w:t>4.请相关生产企业于11月26日将自愿参加湖南省2021年第二批新进补贴机具现场集中演示评价回执表（附件2）发至湖南省农机事务中心产业发展部邮箱hnnjcyb@126.com。</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eastAsia="仿宋_GB2312"/>
        </w:rPr>
        <w:t>5.请参会人员全程佩戴口罩，配合做好新冠肺炎疫情防控工作。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rPr>
      </w:pPr>
      <w:r>
        <w:rPr>
          <w:rFonts w:hint="eastAsia" w:ascii="仿宋_GB2312" w:hAnsi="仿宋_GB2312" w:eastAsia="仿宋_GB2312" w:cs="仿宋_GB2312"/>
        </w:rPr>
        <w:t>报到和机具存放联系人：湘潭九华农机购置补贴办公室沈海中，联系电话：13087232429。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eastAsia="仿宋_GB2312"/>
        </w:rPr>
        <w:t>政策解读联系人：湖南省农机事务中心产业发展部王厉文，18073119221；湖南省农业农村厅农业机械化管理处周洋，18900760689。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560" w:lineRule="exact"/>
        <w:ind w:left="1600" w:leftChars="200" w:hanging="960" w:hangingChars="300"/>
        <w:textAlignment w:val="auto"/>
        <w:rPr>
          <w:rFonts w:ascii="仿宋_GB2312" w:eastAsia="仿宋_GB2312"/>
        </w:rPr>
      </w:pPr>
      <w:r>
        <w:rPr>
          <w:rFonts w:hint="eastAsia" w:ascii="仿宋_GB2312" w:eastAsia="仿宋_GB2312"/>
        </w:rPr>
        <w:t>附件：1.湖南省2021年第二批新进补贴机具现场集中演示评价产品明细表</w:t>
      </w:r>
    </w:p>
    <w:p>
      <w:pPr>
        <w:keepNext w:val="0"/>
        <w:keepLines w:val="0"/>
        <w:pageBreakBefore w:val="0"/>
        <w:widowControl w:val="0"/>
        <w:kinsoku/>
        <w:wordWrap/>
        <w:overflowPunct/>
        <w:topLinePunct w:val="0"/>
        <w:autoSpaceDE/>
        <w:autoSpaceDN/>
        <w:bidi w:val="0"/>
        <w:adjustRightInd/>
        <w:snapToGrid/>
        <w:spacing w:line="560" w:lineRule="exact"/>
        <w:ind w:left="1600" w:leftChars="500" w:firstLine="0" w:firstLineChars="0"/>
        <w:textAlignment w:val="auto"/>
        <w:rPr>
          <w:rFonts w:ascii="仿宋_GB2312" w:eastAsia="仿宋_GB2312"/>
        </w:rPr>
      </w:pPr>
      <w:r>
        <w:rPr>
          <w:rFonts w:hint="eastAsia" w:ascii="仿宋_GB2312" w:eastAsia="仿宋_GB2312"/>
        </w:rPr>
        <w:t>2.自愿参加湖南省2021年第二批新进补贴机具现场集中演示评价回执表</w:t>
      </w:r>
    </w:p>
    <w:p>
      <w:pPr>
        <w:keepNext w:val="0"/>
        <w:keepLines w:val="0"/>
        <w:pageBreakBefore w:val="0"/>
        <w:widowControl w:val="0"/>
        <w:kinsoku/>
        <w:wordWrap/>
        <w:overflowPunct/>
        <w:topLinePunct w:val="0"/>
        <w:autoSpaceDE/>
        <w:autoSpaceDN/>
        <w:bidi w:val="0"/>
        <w:adjustRightInd/>
        <w:snapToGrid/>
        <w:spacing w:line="560" w:lineRule="exact"/>
        <w:ind w:left="1600" w:leftChars="500" w:firstLine="0" w:firstLineChars="0"/>
        <w:textAlignment w:val="auto"/>
        <w:rPr>
          <w:rFonts w:ascii="仿宋_GB2312" w:eastAsia="仿宋_GB2312"/>
        </w:rPr>
      </w:pPr>
      <w:r>
        <w:rPr>
          <w:rFonts w:hint="eastAsia" w:ascii="仿宋_GB2312" w:eastAsia="仿宋_GB2312"/>
        </w:rPr>
        <w:t>3.湖南省农机购置补贴新进机具现场集中演示评价表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r>
        <w:rPr>
          <w:rFonts w:hint="eastAsia" w:ascii="仿宋_GB2312" w:hAnsi="黑体" w:eastAsia="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center"/>
        <w:textAlignment w:val="auto"/>
        <w:rPr>
          <w:rFonts w:ascii="仿宋_GB2312" w:hAnsi="黑体" w:eastAsia="仿宋_GB2312"/>
        </w:rPr>
      </w:pPr>
      <w:r>
        <w:rPr>
          <w:rFonts w:hint="eastAsia" w:ascii="仿宋_GB2312" w:hAnsi="黑体" w:eastAsia="仿宋_GB2312"/>
        </w:rPr>
        <w:t xml:space="preserve">                湖南省农机事务中心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center"/>
        <w:textAlignment w:val="auto"/>
        <w:rPr>
          <w:rFonts w:ascii="仿宋_GB2312" w:hAnsi="黑体" w:eastAsia="仿宋_GB2312"/>
        </w:rPr>
      </w:pPr>
      <w:r>
        <w:rPr>
          <w:rFonts w:hint="eastAsia" w:ascii="仿宋_GB2312" w:hAnsi="黑体" w:eastAsia="仿宋_GB2312"/>
        </w:rPr>
        <w:t xml:space="preserve">                2021年11月22日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_GB2312" w:hAnsi="黑体" w:eastAsia="仿宋_GB2312"/>
        </w:rPr>
      </w:pPr>
    </w:p>
    <w:p>
      <w:pPr>
        <w:spacing w:line="640" w:lineRule="exact"/>
        <w:ind w:firstLine="0" w:firstLineChars="0"/>
        <w:rPr>
          <w:rFonts w:ascii="仿宋_GB2312" w:hAnsi="黑体" w:eastAsia="仿宋_GB2312"/>
        </w:rPr>
      </w:pPr>
    </w:p>
    <w:p>
      <w:pPr>
        <w:spacing w:line="640" w:lineRule="exact"/>
        <w:ind w:firstLine="0" w:firstLineChars="0"/>
        <w:rPr>
          <w:rFonts w:hint="eastAsia" w:ascii="仿宋_GB2312" w:hAnsi="黑体" w:eastAsia="仿宋_GB2312"/>
        </w:rPr>
      </w:pPr>
    </w:p>
    <w:p>
      <w:pPr>
        <w:spacing w:line="640" w:lineRule="exact"/>
        <w:ind w:firstLine="0" w:firstLineChars="0"/>
        <w:rPr>
          <w:rFonts w:hint="eastAsia" w:ascii="仿宋_GB2312" w:hAnsi="黑体" w:eastAsia="仿宋_GB2312"/>
        </w:rPr>
      </w:pPr>
      <w:r>
        <w:rPr>
          <w:rFonts w:hint="eastAsia" w:ascii="仿宋_GB2312" w:hAnsi="黑体" w:eastAsia="仿宋_GB2312"/>
        </w:rPr>
        <w:t>附件1</w:t>
      </w:r>
    </w:p>
    <w:p>
      <w:pPr>
        <w:spacing w:line="640" w:lineRule="exact"/>
        <w:ind w:firstLine="0" w:firstLineChars="0"/>
        <w:rPr>
          <w:rFonts w:hint="eastAsia" w:ascii="仿宋_GB2312" w:hAnsi="黑体" w:eastAsia="仿宋_GB2312"/>
        </w:rPr>
      </w:pPr>
    </w:p>
    <w:tbl>
      <w:tblPr>
        <w:tblStyle w:val="12"/>
        <w:tblW w:w="10515" w:type="dxa"/>
        <w:tblInd w:w="-634" w:type="dxa"/>
        <w:tblLayout w:type="fixed"/>
        <w:tblCellMar>
          <w:top w:w="0" w:type="dxa"/>
          <w:left w:w="108" w:type="dxa"/>
          <w:bottom w:w="0" w:type="dxa"/>
          <w:right w:w="108" w:type="dxa"/>
        </w:tblCellMar>
      </w:tblPr>
      <w:tblGrid>
        <w:gridCol w:w="735"/>
        <w:gridCol w:w="2295"/>
        <w:gridCol w:w="3120"/>
        <w:gridCol w:w="2386"/>
        <w:gridCol w:w="1979"/>
      </w:tblGrid>
      <w:tr>
        <w:tblPrEx>
          <w:tblCellMar>
            <w:top w:w="0" w:type="dxa"/>
            <w:left w:w="108" w:type="dxa"/>
            <w:bottom w:w="0" w:type="dxa"/>
            <w:right w:w="108" w:type="dxa"/>
          </w:tblCellMar>
        </w:tblPrEx>
        <w:trPr>
          <w:trHeight w:val="600" w:hRule="atLeast"/>
        </w:trPr>
        <w:tc>
          <w:tcPr>
            <w:tcW w:w="10515" w:type="dxa"/>
            <w:gridSpan w:val="5"/>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firstLine="0" w:firstLineChars="0"/>
              <w:jc w:val="center"/>
              <w:textAlignment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湖南省2021年第二批新进补贴机具现场集中</w:t>
            </w:r>
          </w:p>
          <w:p>
            <w:pPr>
              <w:keepNext w:val="0"/>
              <w:keepLines w:val="0"/>
              <w:pageBreakBefore w:val="0"/>
              <w:widowControl/>
              <w:kinsoku/>
              <w:wordWrap/>
              <w:overflowPunct/>
              <w:topLinePunct w:val="0"/>
              <w:autoSpaceDE/>
              <w:autoSpaceDN/>
              <w:bidi w:val="0"/>
              <w:adjustRightInd/>
              <w:snapToGrid/>
              <w:spacing w:line="640" w:lineRule="exact"/>
              <w:ind w:left="0" w:leftChars="0" w:firstLine="0" w:firstLineChars="0"/>
              <w:jc w:val="center"/>
              <w:textAlignment w:val="center"/>
              <w:rPr>
                <w:rFonts w:ascii="宋体" w:hAnsi="宋体" w:eastAsia="宋体" w:cs="宋体"/>
                <w:b/>
                <w:bCs/>
                <w:color w:val="000000"/>
                <w:sz w:val="28"/>
                <w:szCs w:val="28"/>
              </w:rPr>
            </w:pPr>
            <w:r>
              <w:rPr>
                <w:rFonts w:hint="eastAsia" w:ascii="方正小标宋简体" w:hAnsi="方正小标宋简体" w:eastAsia="方正小标宋简体" w:cs="方正小标宋简体"/>
                <w:b w:val="0"/>
                <w:bCs w:val="0"/>
                <w:color w:val="000000"/>
                <w:kern w:val="0"/>
                <w:sz w:val="44"/>
                <w:szCs w:val="44"/>
              </w:rPr>
              <w:t>演示评价产品明细表</w:t>
            </w:r>
          </w:p>
        </w:tc>
      </w:tr>
      <w:tr>
        <w:tblPrEx>
          <w:tblCellMar>
            <w:top w:w="0" w:type="dxa"/>
            <w:left w:w="108" w:type="dxa"/>
            <w:bottom w:w="0" w:type="dxa"/>
            <w:right w:w="108" w:type="dxa"/>
          </w:tblCellMar>
        </w:tblPrEx>
        <w:trPr>
          <w:trHeight w:val="587"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机具品目</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生产企业</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产品名称</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机具型号</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旋耕机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安徽得田农业机械装备有限公司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自走履带式旋耕机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1GZL-230B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旋耕机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安徽得田农业机械装备有限公司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自走履带式旋耕机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1GZL-230C</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旋耕机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湖南润田农机装备科技股份有限公司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履带自走式旋耕机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1GZL-230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旋耕机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湖州丰源农业装备制造有限公司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自走履带式旋耕机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1GZL230B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旋耕机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台州世耀农机科技有限公司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自走式履带式旋耕机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1GZL-220A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旋耕机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星光农机股份有限公司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自走履带旋耕机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1GZL-210A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水稻插秧机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久保田农业机械(苏州)有限公司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乘座式高速插秧机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2ZGQ-6G1(SPV-6C)</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水稻插秧机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江苏常发农业装备股份有限公司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高速乘坐式插秧机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2ZG-6Y</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广州极飞科技股份有限公司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3WWDZ-15.2A</w:t>
            </w:r>
          </w:p>
        </w:tc>
      </w:tr>
      <w:tr>
        <w:tblPrEx>
          <w:tblCellMar>
            <w:top w:w="0" w:type="dxa"/>
            <w:left w:w="108" w:type="dxa"/>
            <w:bottom w:w="0" w:type="dxa"/>
            <w:right w:w="108" w:type="dxa"/>
          </w:tblCellMar>
        </w:tblPrEx>
        <w:trPr>
          <w:trHeight w:val="90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江苏沃得农业机械股份有限公司</w:t>
            </w:r>
          </w:p>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（原：江苏沃得农业机械有限公司）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农业植保无人机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3WWDZ-10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深圳市大疆创新科技有限公司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T10植保无人飞机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3WWDZ-10A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深圳市大疆创新科技有限公司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植保无人飞机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3WWDZ-15.1B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深圳市大疆创新科技有限公司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植保无人飞机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3WWDZ-15A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广州极飞科技股份有限公司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多旋翼植保机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3WWDZ-20A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广州极飞科技股份有限公司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3WWDZ-20B</w:t>
            </w:r>
          </w:p>
        </w:tc>
      </w:tr>
      <w:tr>
        <w:tblPrEx>
          <w:tblCellMar>
            <w:top w:w="0" w:type="dxa"/>
            <w:left w:w="108" w:type="dxa"/>
            <w:bottom w:w="0" w:type="dxa"/>
            <w:right w:w="108" w:type="dxa"/>
          </w:tblCellMar>
        </w:tblPrEx>
        <w:trPr>
          <w:trHeight w:val="788"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江苏沃得农业机械股份有限公司</w:t>
            </w:r>
          </w:p>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（原：江苏沃得农业机械有限公司）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农业植保无人机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3WWDZ-22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苏州极目机器人科技有限公司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智能多旋翼植保无人机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3WWDZ-20A2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苏州极目机器人科技有限公司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智能多旋翼植保无人机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3WWDZ-20B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苏州极目机器人科技有限公司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智能多旋翼植保无人机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3WWDZ-20C</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广州极飞科技股份有限公司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农业无人机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3WWDZ-35A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深圳市大疆创新科技有限公司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T30植保无人飞机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3WWDZ-30A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无锡汉和航空技术有限公司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高效农用无人植保喷雾机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3WYD-4-16B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植保无人驾驶航空器</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无锡汉和航空技术有限公司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高效农用植保无人喷雾机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3WYD-4-22A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山本机械(苏州)有限公司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循环式低温谷物干燥机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NCD-80BC</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安徽三喜农机有限公司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5HX-16</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常州东风农机集团有限公司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5HDH-15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合肥池源机械有限公司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5HP-12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河北皓凯农业机械有限公司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气吸循环式粮食干燥机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5HQX-10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江苏谷田机械科技有限公司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5H-15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六安久久机械科技有限公司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5HJJ-15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山本机械(苏州)有限公司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循环式低温谷物干燥机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NCD-100BC</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山本机械(苏州)有限公司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循环式低温谷物干燥机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NCD-120BC</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山本机械(苏州)有限公司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循环式低温谷物干燥机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SD-100B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山本机械(苏州)有限公司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循环式低温谷物干燥机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SD-120B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山东沃普农业装备科技有限公司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移动式谷物干燥机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5HYWP-8310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无锡神谷金穗科技有限公司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5HSG-1600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安徽三喜农机有限公司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5HX-22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常州东风农机集团有限公司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5HDH-21</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合肥池源机械有限公司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5HP-22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合肥池源机械有限公司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5HP-22A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河南若华生物科技有限公司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HDX-22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江苏谷田机械科技有限公司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5H-20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无锡神谷金穗科技有限公司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5HSG-2000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常州东风农机集团有限公司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5HDH-32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佛冈飞悦机械有限公司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粮食烘干机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5HHX-60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合肥池源机械有限公司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合肥池源机械有限公司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5HP-40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河南若华生物科技有限公司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HDX-32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河南若华生物科技有限公司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HDX-50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河南拓鑫现代农机装备有限公司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循环式谷物干燥机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5HX-32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河南卓凯环保科技有限公司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5HXZK-30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江苏谷田机械科技有限公司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5H-30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江苏谷田机械科技有限公司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5H-35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六安久久机械科技有限公司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5HJJ-30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潍坊艾维机械设备有限公司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5HP-30X</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潍坊艾维机械设备有限公司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5HP-35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无锡神谷金穗科技有限公司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5HSG-3000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郑州英启机械设备有限公司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批式循环谷物干燥机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5HP-32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59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河南拓鑫现代农机装备有限公司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连续式谷物干燥机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5HL-120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河南玉春农业机械设备有限公司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连续式粮食烘干机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5H-100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开原金鑫烘干设备有限公司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5HGJ100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铁岭市清河区金锋干燥设备有限公司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5HSHN-200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铁岭市清河区金锋干燥设备有限公司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SNH-10</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铁岭市清河区金锋干燥设备有限公司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SNH-15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铁岭市清河区金锋干燥设备有限公司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SNH-25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铁岭市清河区金锋干燥设备有限公司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SNH-5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谷物烘干机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铁岭市清河区金锋干燥设备有限公司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粮食干燥机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SNH-7.5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湖南福格森装备科技有限公司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FGS-702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69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湖南福格森装备科技有限公司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FGS-802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湖南福格森装备科技有限公司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FGS-1002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湖南福格森装备科技有限公司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FGS-902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益阳富佳科技有限公司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FJ-1002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衡阳市力源动力制造有限公司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轻型履带拖拉机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HL-752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湖南福格森装备科技有限公司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轻型履带拖拉机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FGS-702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益阳富佳科技有限公司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FJ-752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浙江四方股份有限公司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轻型履带拖拉机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SF902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浙江四方集团有限公司（原浙江四方集团公司）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履带拖拉机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SF752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湖南亦航农业科技有限公司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GPL-625（不带外遮阳）</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79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石门鑫恒建设工程有限公司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农业钢架蔬菜大棚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GPL-625（不带外遮阳）</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益阳富佳科技有限公司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农用连栋钢架大棚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GPL-625(不带外遮阳)</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湖南亦航农业科技有限公司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GPL-625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石门鑫恒建设工程有限公司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农业钢架蔬菜大棚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GPL-625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益阳富佳科技有限公司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农用连栋钢架大棚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GPL-625</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衡东辉远科技有限公司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农用连栋钢架大棚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GPL-832(不带外遮阳）</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湖南亦航农业科技有限公司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农业连栋大棚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GBL-（832不带外遮阳）</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石门鑫恒建设工程有限公司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农业钢架蔬菜大棚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GPL-832（不带外遮阳）</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益阳富佳科技有限公司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农用连栋钢架大棚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GPL-832（不带外遮阳）</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衡东辉远科技有限公司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农用连栋钢架大棚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GPL-832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89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湖南亦航农业科技有限公司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农业钢架大棚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GPL-832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石门鑫恒建设工程有限公司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农业钢架蔬菜大棚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GPL-832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温室大棚（成套设施装备）</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益阳富佳科技有限公司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农用连栋钢架大棚</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GPL-832</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洛阳映山红拖拉机有限公司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新东方500B</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青州市铭科农业机械有限公司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MKC504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94</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山东比勒农业装备有限公司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BLE504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潍坊昊田农业装备有限公司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SE504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96</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青州市铭科农业机械有限公司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MKC604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97</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山东比勒农业装备有限公司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BLE604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98</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潍坊昊田农业装备有限公司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SE604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99</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潍坊华夏拖拉机制造有限公司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XA604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100</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山东比勒农业装备有限公司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BLB704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山东比勒农业装备有限公司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BLE704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潍坊昊田农业装备有限公司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SN704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潍坊昊田农业装备有限公司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SNT704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104</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潍坊华夏拖拉机制造有限公司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XA704</w:t>
            </w:r>
          </w:p>
        </w:tc>
      </w:tr>
      <w:tr>
        <w:tblPrEx>
          <w:tblCellMar>
            <w:top w:w="0" w:type="dxa"/>
            <w:left w:w="108" w:type="dxa"/>
            <w:bottom w:w="0" w:type="dxa"/>
            <w:right w:w="108" w:type="dxa"/>
          </w:tblCellMar>
        </w:tblPrEx>
        <w:trPr>
          <w:trHeight w:val="49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山东比勒农业装备有限公司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BLB804</w:t>
            </w:r>
          </w:p>
        </w:tc>
      </w:tr>
      <w:tr>
        <w:tblPrEx>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106</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山东盛禾重工有限公司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S804-C</w:t>
            </w:r>
          </w:p>
        </w:tc>
      </w:tr>
      <w:tr>
        <w:tblPrEx>
          <w:tblCellMar>
            <w:top w:w="0" w:type="dxa"/>
            <w:left w:w="108" w:type="dxa"/>
            <w:bottom w:w="0" w:type="dxa"/>
            <w:right w:w="108" w:type="dxa"/>
          </w:tblCellMar>
        </w:tblPrEx>
        <w:trPr>
          <w:trHeight w:val="55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107</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潍坊昊田农业装备有限公司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STB804</w:t>
            </w:r>
          </w:p>
        </w:tc>
      </w:tr>
      <w:tr>
        <w:tblPrEx>
          <w:tblCellMar>
            <w:top w:w="0" w:type="dxa"/>
            <w:left w:w="108" w:type="dxa"/>
            <w:bottom w:w="0" w:type="dxa"/>
            <w:right w:w="108" w:type="dxa"/>
          </w:tblCellMar>
        </w:tblPrEx>
        <w:trPr>
          <w:trHeight w:val="55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108</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洛阳万年红拖拉机有限公司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WG904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109</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洛阳映山红拖拉机有限公司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新东方904</w:t>
            </w:r>
          </w:p>
        </w:tc>
      </w:tr>
      <w:tr>
        <w:tblPrEx>
          <w:tblCellMar>
            <w:top w:w="0" w:type="dxa"/>
            <w:left w:w="108" w:type="dxa"/>
            <w:bottom w:w="0" w:type="dxa"/>
            <w:right w:w="108" w:type="dxa"/>
          </w:tblCellMar>
        </w:tblPrEx>
        <w:trPr>
          <w:trHeight w:val="52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110</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山东比勒农业装备有限公司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BLB904</w:t>
            </w:r>
          </w:p>
        </w:tc>
      </w:tr>
      <w:tr>
        <w:tblPrEx>
          <w:tblCellMar>
            <w:top w:w="0" w:type="dxa"/>
            <w:left w:w="108" w:type="dxa"/>
            <w:bottom w:w="0" w:type="dxa"/>
            <w:right w:w="108" w:type="dxa"/>
          </w:tblCellMar>
        </w:tblPrEx>
        <w:trPr>
          <w:trHeight w:val="5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山东盛禾重工有限公司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S904-C</w:t>
            </w:r>
          </w:p>
        </w:tc>
      </w:tr>
      <w:tr>
        <w:tblPrEx>
          <w:tblCellMar>
            <w:top w:w="0" w:type="dxa"/>
            <w:left w:w="108" w:type="dxa"/>
            <w:bottom w:w="0" w:type="dxa"/>
            <w:right w:w="108" w:type="dxa"/>
          </w:tblCellMar>
        </w:tblPrEx>
        <w:trPr>
          <w:trHeight w:val="55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潍坊银泉机械有限公司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中联农业机械股份有限公司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RX904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114</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洛阳万年红拖拉机有限公司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WG1004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洛阳映山红拖拉机有限公司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新东方1104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116</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山东盛禾重工有限公司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S1004-C</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117</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潍坊昊田农业装备有限公司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STB1004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118</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潍坊银泉机械有限公司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119</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常州东风农机集团有限公司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DF1304-5A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120</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常州东风农机集团有限公司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DF1404-5A</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121</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常州东风农机集团有限公司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DF1404-X</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122</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第一拖拉机股份有限公司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LY1404-1</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123</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第一拖拉机股份有限公司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LY1404-L</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124</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洛阳映山红拖拉机有限公司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新东方1504</w:t>
            </w:r>
          </w:p>
        </w:tc>
      </w:tr>
      <w:tr>
        <w:tblPrEx>
          <w:tblCellMar>
            <w:top w:w="0" w:type="dxa"/>
            <w:left w:w="108" w:type="dxa"/>
            <w:bottom w:w="0" w:type="dxa"/>
            <w:right w:w="108" w:type="dxa"/>
          </w:tblCellMar>
        </w:tblPrEx>
        <w:trPr>
          <w:trHeight w:val="6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125</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潍坊华夏拖拉机制造有限公司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XTD1404</w:t>
            </w:r>
          </w:p>
        </w:tc>
      </w:tr>
      <w:tr>
        <w:tblPrEx>
          <w:tblCellMar>
            <w:top w:w="0" w:type="dxa"/>
            <w:left w:w="108" w:type="dxa"/>
            <w:bottom w:w="0" w:type="dxa"/>
            <w:right w:w="108" w:type="dxa"/>
          </w:tblCellMar>
        </w:tblPrEx>
        <w:trPr>
          <w:trHeight w:val="529"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126</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潍坊华夏拖拉机制造有限公司</w:t>
            </w:r>
          </w:p>
        </w:tc>
        <w:tc>
          <w:tcPr>
            <w:tcW w:w="2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轮式拖拉机</w:t>
            </w:r>
          </w:p>
        </w:tc>
        <w:tc>
          <w:tcPr>
            <w:tcW w:w="19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6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XTD1404-1</w:t>
            </w:r>
          </w:p>
        </w:tc>
      </w:tr>
    </w:tbl>
    <w:p>
      <w:pPr>
        <w:spacing w:line="640" w:lineRule="exact"/>
        <w:ind w:firstLine="640"/>
        <w:rPr>
          <w:rFonts w:ascii="仿宋_GB2312" w:hAnsi="黑体" w:eastAsia="仿宋_GB2312"/>
        </w:rPr>
      </w:pPr>
    </w:p>
    <w:p>
      <w:pPr>
        <w:spacing w:line="640" w:lineRule="exact"/>
        <w:ind w:firstLine="0" w:firstLineChars="0"/>
        <w:rPr>
          <w:rFonts w:ascii="仿宋_GB2312" w:hAnsi="黑体" w:eastAsia="仿宋_GB2312"/>
        </w:rPr>
        <w:sectPr>
          <w:footerReference r:id="rId11" w:type="default"/>
          <w:pgSz w:w="11906" w:h="16838"/>
          <w:pgMar w:top="1587" w:right="1588" w:bottom="1417" w:left="1588" w:header="851" w:footer="992" w:gutter="0"/>
          <w:pgNumType w:start="2"/>
          <w:cols w:space="720" w:num="1"/>
          <w:docGrid w:type="lines" w:linePitch="312" w:charSpace="0"/>
        </w:sectPr>
      </w:pPr>
    </w:p>
    <w:p>
      <w:pPr>
        <w:spacing w:line="640" w:lineRule="exact"/>
        <w:ind w:firstLine="0" w:firstLineChars="0"/>
        <w:rPr>
          <w:rFonts w:hint="eastAsia" w:ascii="仿宋_GB2312" w:hAnsi="黑体" w:eastAsia="仿宋_GB2312"/>
        </w:rPr>
      </w:pPr>
      <w:r>
        <w:rPr>
          <w:rFonts w:hint="eastAsia" w:ascii="仿宋_GB2312" w:hAnsi="黑体" w:eastAsia="仿宋_GB2312"/>
        </w:rPr>
        <w:t>附件2</w:t>
      </w:r>
    </w:p>
    <w:p>
      <w:pPr>
        <w:spacing w:line="640" w:lineRule="exact"/>
        <w:ind w:firstLine="0" w:firstLineChars="0"/>
        <w:rPr>
          <w:rFonts w:hint="eastAsia" w:ascii="仿宋_GB2312" w:hAnsi="黑体" w:eastAsia="仿宋_GB2312"/>
        </w:rPr>
      </w:pPr>
    </w:p>
    <w:tbl>
      <w:tblPr>
        <w:tblStyle w:val="12"/>
        <w:tblW w:w="15371" w:type="dxa"/>
        <w:tblInd w:w="-322" w:type="dxa"/>
        <w:tblLayout w:type="fixed"/>
        <w:tblCellMar>
          <w:top w:w="0" w:type="dxa"/>
          <w:left w:w="108" w:type="dxa"/>
          <w:bottom w:w="0" w:type="dxa"/>
          <w:right w:w="108" w:type="dxa"/>
        </w:tblCellMar>
      </w:tblPr>
      <w:tblGrid>
        <w:gridCol w:w="660"/>
        <w:gridCol w:w="2265"/>
        <w:gridCol w:w="2040"/>
        <w:gridCol w:w="2295"/>
        <w:gridCol w:w="2025"/>
        <w:gridCol w:w="1725"/>
        <w:gridCol w:w="1845"/>
        <w:gridCol w:w="2516"/>
      </w:tblGrid>
      <w:tr>
        <w:tblPrEx>
          <w:tblCellMar>
            <w:top w:w="0" w:type="dxa"/>
            <w:left w:w="108" w:type="dxa"/>
            <w:bottom w:w="0" w:type="dxa"/>
            <w:right w:w="108" w:type="dxa"/>
          </w:tblCellMar>
        </w:tblPrEx>
        <w:trPr>
          <w:trHeight w:val="546" w:hRule="atLeast"/>
        </w:trPr>
        <w:tc>
          <w:tcPr>
            <w:tcW w:w="15371" w:type="dxa"/>
            <w:gridSpan w:val="8"/>
            <w:tcBorders>
              <w:top w:val="nil"/>
              <w:left w:val="nil"/>
              <w:bottom w:val="single" w:color="000000" w:sz="4" w:space="0"/>
              <w:right w:val="nil"/>
            </w:tcBorders>
            <w:shd w:val="clear" w:color="auto" w:fill="auto"/>
            <w:noWrap/>
            <w:vAlign w:val="center"/>
          </w:tcPr>
          <w:p>
            <w:pPr>
              <w:widowControl/>
              <w:ind w:left="0" w:leftChars="0" w:firstLine="0" w:firstLineChars="0"/>
              <w:jc w:val="center"/>
              <w:textAlignment w:val="center"/>
              <w:rPr>
                <w:rFonts w:ascii="宋体" w:hAnsi="宋体" w:eastAsia="宋体" w:cs="宋体"/>
                <w:b/>
                <w:bCs/>
                <w:color w:val="000000"/>
                <w:sz w:val="28"/>
                <w:szCs w:val="28"/>
              </w:rPr>
            </w:pPr>
            <w:r>
              <w:rPr>
                <w:rFonts w:hint="eastAsia" w:ascii="方正小标宋简体" w:hAnsi="方正小标宋简体" w:eastAsia="方正小标宋简体" w:cs="方正小标宋简体"/>
                <w:b w:val="0"/>
                <w:bCs w:val="0"/>
                <w:color w:val="000000"/>
                <w:kern w:val="0"/>
                <w:sz w:val="44"/>
                <w:szCs w:val="44"/>
              </w:rPr>
              <w:t>自愿参加湖南省2021年第二批新进补贴机具现场集中演示评价回执表</w:t>
            </w:r>
          </w:p>
        </w:tc>
      </w:tr>
      <w:tr>
        <w:tblPrEx>
          <w:tblCellMar>
            <w:top w:w="0" w:type="dxa"/>
            <w:left w:w="108" w:type="dxa"/>
            <w:bottom w:w="0" w:type="dxa"/>
            <w:right w:w="108" w:type="dxa"/>
          </w:tblCellMar>
        </w:tblPrEx>
        <w:trPr>
          <w:trHeight w:val="133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机具品目</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生产企业</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产品名称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机具型号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生产企业联系人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联系电话</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2"/>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演示具体地点（仅须谷物烘干机和农用连栋钢架大棚填写）</w:t>
            </w:r>
          </w:p>
        </w:tc>
      </w:tr>
      <w:tr>
        <w:tblPrEx>
          <w:tblCellMar>
            <w:top w:w="0" w:type="dxa"/>
            <w:left w:w="108" w:type="dxa"/>
            <w:bottom w:w="0" w:type="dxa"/>
            <w:right w:w="108" w:type="dxa"/>
          </w:tblCellMar>
        </w:tblPrEx>
        <w:trPr>
          <w:trHeight w:val="617"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1</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617"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2</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617"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3</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627"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Arial" w:hAnsi="Arial" w:cs="Arial"/>
                <w:color w:val="000000"/>
                <w:sz w:val="20"/>
                <w:szCs w:val="20"/>
              </w:rPr>
            </w:pPr>
            <w:r>
              <w:rPr>
                <w:rFonts w:ascii="Arial" w:hAnsi="Arial" w:eastAsia="宋体" w:cs="Arial"/>
                <w:color w:val="000000"/>
                <w:kern w:val="0"/>
                <w:sz w:val="20"/>
                <w:szCs w:val="20"/>
              </w:rPr>
              <w:t>4</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jc w:val="center"/>
              <w:rPr>
                <w:rFonts w:ascii="宋体" w:hAnsi="宋体" w:eastAsia="宋体" w:cs="宋体"/>
                <w:color w:val="000000"/>
                <w:sz w:val="18"/>
                <w:szCs w:val="18"/>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宋体" w:hAnsi="宋体" w:eastAsia="宋体" w:cs="宋体"/>
                <w:b/>
                <w:bCs/>
                <w:color w:val="000000"/>
                <w:sz w:val="20"/>
                <w:szCs w:val="20"/>
              </w:rPr>
            </w:pPr>
          </w:p>
        </w:tc>
      </w:tr>
    </w:tbl>
    <w:p>
      <w:pPr>
        <w:spacing w:line="640" w:lineRule="exact"/>
        <w:ind w:firstLine="0" w:firstLineChars="0"/>
        <w:rPr>
          <w:rFonts w:ascii="仿宋_GB2312" w:hAnsi="黑体" w:eastAsia="仿宋_GB2312"/>
        </w:rPr>
      </w:pPr>
    </w:p>
    <w:p>
      <w:pPr>
        <w:spacing w:line="640" w:lineRule="exact"/>
        <w:ind w:firstLine="640"/>
        <w:rPr>
          <w:rFonts w:ascii="仿宋_GB2312" w:hAnsi="黑体" w:eastAsia="仿宋_GB2312"/>
        </w:rPr>
      </w:pPr>
    </w:p>
    <w:p>
      <w:pPr>
        <w:spacing w:line="640" w:lineRule="exact"/>
        <w:ind w:firstLine="640"/>
        <w:rPr>
          <w:rFonts w:ascii="仿宋_GB2312" w:hAnsi="黑体" w:eastAsia="仿宋_GB2312"/>
        </w:rPr>
      </w:pPr>
    </w:p>
    <w:p>
      <w:pPr>
        <w:spacing w:line="640" w:lineRule="exact"/>
        <w:ind w:firstLine="640"/>
        <w:rPr>
          <w:rFonts w:ascii="仿宋_GB2312" w:hAnsi="黑体" w:eastAsia="仿宋_GB2312"/>
        </w:rPr>
      </w:pPr>
    </w:p>
    <w:p>
      <w:pPr>
        <w:spacing w:line="640" w:lineRule="exact"/>
        <w:ind w:firstLine="0" w:firstLineChars="0"/>
        <w:rPr>
          <w:rFonts w:ascii="仿宋_GB2312" w:eastAsia="仿宋_GB2312"/>
        </w:rPr>
        <w:sectPr>
          <w:pgSz w:w="16838" w:h="11906" w:orient="landscape"/>
          <w:pgMar w:top="1587" w:right="1587" w:bottom="1587" w:left="1417" w:header="851" w:footer="992" w:gutter="0"/>
          <w:cols w:space="0" w:num="1"/>
          <w:docGrid w:type="lines" w:linePitch="436" w:charSpace="0"/>
        </w:sectPr>
      </w:pPr>
    </w:p>
    <w:p>
      <w:pPr>
        <w:spacing w:line="640" w:lineRule="exact"/>
        <w:ind w:firstLine="0" w:firstLineChars="0"/>
        <w:rPr>
          <w:rFonts w:hint="eastAsia" w:ascii="仿宋_GB2312" w:eastAsia="仿宋_GB2312"/>
        </w:rPr>
      </w:pPr>
      <w:r>
        <w:rPr>
          <w:rFonts w:hint="eastAsia" w:ascii="仿宋_GB2312" w:eastAsia="仿宋_GB2312"/>
        </w:rPr>
        <w:t>附件3</w:t>
      </w:r>
    </w:p>
    <w:p>
      <w:pPr>
        <w:spacing w:line="640" w:lineRule="exact"/>
        <w:ind w:firstLine="0" w:firstLineChars="0"/>
        <w:rPr>
          <w:rFonts w:hint="eastAsia" w:ascii="仿宋_GB2312" w:eastAsia="仿宋_GB2312"/>
        </w:rPr>
      </w:pPr>
    </w:p>
    <w:p>
      <w:pPr>
        <w:spacing w:line="560" w:lineRule="exact"/>
        <w:ind w:left="0" w:leftChars="0" w:firstLine="0" w:firstLineChars="0"/>
        <w:jc w:val="center"/>
        <w:rPr>
          <w:rFonts w:hint="eastAsia" w:ascii="方正小标宋简体" w:hAnsi="黑体" w:eastAsia="方正小标宋简体" w:cs="宋体"/>
          <w:sz w:val="44"/>
          <w:szCs w:val="44"/>
        </w:rPr>
      </w:pPr>
      <w:r>
        <w:rPr>
          <w:rFonts w:hint="eastAsia" w:ascii="方正小标宋简体" w:hAnsi="黑体" w:eastAsia="方正小标宋简体" w:cs="宋体"/>
          <w:sz w:val="44"/>
          <w:szCs w:val="44"/>
        </w:rPr>
        <w:t>湖南省农机购置补贴新进机具现场集中</w:t>
      </w:r>
    </w:p>
    <w:p>
      <w:pPr>
        <w:spacing w:line="560" w:lineRule="exact"/>
        <w:ind w:left="0" w:leftChars="0" w:firstLine="0" w:firstLineChars="0"/>
        <w:jc w:val="center"/>
        <w:rPr>
          <w:rFonts w:ascii="方正小标宋简体" w:hAnsi="黑体" w:eastAsia="方正小标宋简体" w:cs="宋体"/>
          <w:sz w:val="44"/>
          <w:szCs w:val="44"/>
        </w:rPr>
      </w:pPr>
      <w:r>
        <w:rPr>
          <w:rFonts w:hint="eastAsia" w:ascii="方正小标宋简体" w:hAnsi="黑体" w:eastAsia="方正小标宋简体" w:cs="宋体"/>
          <w:sz w:val="44"/>
          <w:szCs w:val="44"/>
        </w:rPr>
        <w:t>演示评价表</w:t>
      </w:r>
    </w:p>
    <w:tbl>
      <w:tblPr>
        <w:tblStyle w:val="1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3"/>
        <w:gridCol w:w="2045"/>
        <w:gridCol w:w="1874"/>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产品名称及型号</w:t>
            </w:r>
          </w:p>
        </w:tc>
        <w:tc>
          <w:tcPr>
            <w:tcW w:w="2045" w:type="dxa"/>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c>
          <w:tcPr>
            <w:tcW w:w="1874" w:type="dxa"/>
            <w:tcBorders>
              <w:top w:val="single" w:color="auto" w:sz="4" w:space="0"/>
              <w:left w:val="nil"/>
              <w:bottom w:val="single" w:color="auto" w:sz="4" w:space="0"/>
              <w:right w:val="single" w:color="auto" w:sz="4" w:space="0"/>
            </w:tcBorders>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所属品目</w:t>
            </w:r>
          </w:p>
        </w:tc>
        <w:tc>
          <w:tcPr>
            <w:tcW w:w="1905" w:type="dxa"/>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我省补贴分档档次</w:t>
            </w:r>
          </w:p>
        </w:tc>
        <w:tc>
          <w:tcPr>
            <w:tcW w:w="2045" w:type="dxa"/>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c>
          <w:tcPr>
            <w:tcW w:w="1874" w:type="dxa"/>
            <w:tcBorders>
              <w:top w:val="single" w:color="auto" w:sz="4" w:space="0"/>
              <w:left w:val="nil"/>
              <w:bottom w:val="single" w:color="auto" w:sz="4" w:space="0"/>
              <w:right w:val="single" w:color="auto" w:sz="4" w:space="0"/>
            </w:tcBorders>
            <w:vAlign w:val="center"/>
          </w:tcPr>
          <w:p>
            <w:pPr>
              <w:ind w:firstLine="0" w:firstLineChars="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我省发布的</w:t>
            </w:r>
          </w:p>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中央补贴额</w:t>
            </w:r>
          </w:p>
        </w:tc>
        <w:tc>
          <w:tcPr>
            <w:tcW w:w="1905" w:type="dxa"/>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生产企业名称</w:t>
            </w:r>
          </w:p>
        </w:tc>
        <w:tc>
          <w:tcPr>
            <w:tcW w:w="5824" w:type="dxa"/>
            <w:gridSpan w:val="3"/>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firstLineChars="0"/>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展示（演示）时间</w:t>
            </w:r>
          </w:p>
        </w:tc>
        <w:tc>
          <w:tcPr>
            <w:tcW w:w="5824" w:type="dxa"/>
            <w:gridSpan w:val="3"/>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firstLineChars="0"/>
              <w:jc w:val="center"/>
              <w:rPr>
                <w:rFonts w:ascii="仿宋_GB2312" w:hAnsi="仿宋_GB2312" w:eastAsia="仿宋_GB2312" w:cs="仿宋_GB2312"/>
                <w:spacing w:val="16"/>
                <w:sz w:val="28"/>
                <w:szCs w:val="28"/>
              </w:rPr>
            </w:pPr>
            <w:r>
              <w:rPr>
                <w:rFonts w:hint="eastAsia" w:ascii="仿宋_GB2312" w:hAnsi="仿宋_GB2312" w:eastAsia="仿宋_GB2312" w:cs="仿宋_GB2312"/>
                <w:sz w:val="28"/>
                <w:szCs w:val="28"/>
              </w:rPr>
              <w:t>展示（演示）地点</w:t>
            </w:r>
          </w:p>
        </w:tc>
        <w:tc>
          <w:tcPr>
            <w:tcW w:w="5824" w:type="dxa"/>
            <w:gridSpan w:val="3"/>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机具铭牌是否规范</w:t>
            </w:r>
          </w:p>
        </w:tc>
        <w:tc>
          <w:tcPr>
            <w:tcW w:w="5824" w:type="dxa"/>
            <w:gridSpan w:val="3"/>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机具参数是否与检验报告一致</w:t>
            </w:r>
          </w:p>
        </w:tc>
        <w:tc>
          <w:tcPr>
            <w:tcW w:w="5824" w:type="dxa"/>
            <w:gridSpan w:val="3"/>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参数是否与我省发布的配置</w:t>
            </w:r>
          </w:p>
          <w:p>
            <w:pPr>
              <w:spacing w:line="0" w:lineRule="atLeas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参数一致</w:t>
            </w:r>
          </w:p>
        </w:tc>
        <w:tc>
          <w:tcPr>
            <w:tcW w:w="5824" w:type="dxa"/>
            <w:gridSpan w:val="3"/>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firstLineChars="0"/>
              <w:jc w:val="center"/>
              <w:rPr>
                <w:rFonts w:ascii="仿宋_GB2312" w:hAnsi="仿宋_GB2312" w:eastAsia="仿宋_GB2312" w:cs="仿宋_GB2312"/>
                <w:spacing w:val="16"/>
                <w:sz w:val="28"/>
                <w:szCs w:val="28"/>
              </w:rPr>
            </w:pPr>
            <w:r>
              <w:rPr>
                <w:rFonts w:hint="eastAsia" w:ascii="仿宋_GB2312" w:hAnsi="仿宋_GB2312" w:eastAsia="仿宋_GB2312" w:cs="仿宋_GB2312"/>
                <w:sz w:val="28"/>
                <w:szCs w:val="28"/>
              </w:rPr>
              <w:t>机具现场展示（演示）情况</w:t>
            </w:r>
          </w:p>
        </w:tc>
        <w:tc>
          <w:tcPr>
            <w:tcW w:w="5824"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ascii="仿宋_GB2312" w:hAnsi="仿宋_GB2312" w:eastAsia="仿宋_GB2312" w:cs="仿宋_GB2312"/>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40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专家组意见</w:t>
            </w:r>
          </w:p>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（须明确写明建议通过</w:t>
            </w:r>
          </w:p>
          <w:p>
            <w:pPr>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或不通过）</w:t>
            </w:r>
          </w:p>
        </w:tc>
        <w:tc>
          <w:tcPr>
            <w:tcW w:w="5824" w:type="dxa"/>
            <w:gridSpan w:val="3"/>
            <w:tcBorders>
              <w:top w:val="single" w:color="auto" w:sz="4" w:space="0"/>
              <w:left w:val="nil"/>
              <w:bottom w:val="single" w:color="auto" w:sz="4" w:space="0"/>
              <w:right w:val="single" w:color="auto" w:sz="4" w:space="0"/>
            </w:tcBorders>
            <w:vAlign w:val="center"/>
          </w:tcPr>
          <w:p>
            <w:pPr>
              <w:ind w:firstLine="480"/>
              <w:jc w:val="center"/>
              <w:rPr>
                <w:rFonts w:ascii="仿宋_GB2312" w:hAnsi="仿宋_GB2312" w:eastAsia="仿宋_GB2312" w:cs="仿宋_GB2312"/>
                <w:sz w:val="24"/>
                <w:szCs w:val="24"/>
              </w:rPr>
            </w:pPr>
          </w:p>
          <w:p>
            <w:pPr>
              <w:ind w:firstLine="0" w:firstLineChars="0"/>
              <w:jc w:val="center"/>
              <w:rPr>
                <w:rFonts w:ascii="仿宋_GB2312" w:hAnsi="仿宋_GB2312" w:eastAsia="仿宋_GB2312" w:cs="仿宋_GB2312"/>
                <w:sz w:val="24"/>
                <w:szCs w:val="24"/>
              </w:rPr>
            </w:pPr>
          </w:p>
          <w:p>
            <w:pPr>
              <w:ind w:firstLine="480"/>
              <w:jc w:val="center"/>
              <w:rPr>
                <w:rFonts w:ascii="仿宋_GB2312" w:hAnsi="仿宋_GB2312" w:eastAsia="仿宋_GB2312" w:cs="仿宋_GB2312"/>
                <w:sz w:val="24"/>
                <w:szCs w:val="24"/>
              </w:rPr>
            </w:pPr>
          </w:p>
          <w:p>
            <w:pPr>
              <w:ind w:firstLine="2760" w:firstLineChars="115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p>
            <w:pPr>
              <w:ind w:firstLine="480"/>
              <w:jc w:val="center"/>
              <w:rPr>
                <w:rFonts w:ascii="仿宋_GB2312" w:hAnsi="仿宋_GB2312" w:eastAsia="仿宋_GB2312" w:cs="仿宋_GB2312"/>
                <w:sz w:val="24"/>
                <w:szCs w:val="24"/>
              </w:rPr>
            </w:pPr>
          </w:p>
        </w:tc>
      </w:tr>
    </w:tbl>
    <w:p>
      <w:pPr>
        <w:ind w:firstLine="0" w:firstLineChars="0"/>
      </w:pPr>
    </w:p>
    <w:sectPr>
      <w:pgSz w:w="11906" w:h="16838"/>
      <w:pgMar w:top="1587" w:right="1587" w:bottom="1417" w:left="1587" w:header="851" w:footer="992" w:gutter="0"/>
      <w:cols w:space="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pict>
        <v:shape id="文本框 1025"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path/>
          <v:fill on="f" focussize="0,0"/>
          <v:stroke on="f" joinstyle="miter"/>
          <v:imagedata o:title=""/>
          <o:lock v:ext="edit"/>
          <v:textbox inset="0mm,0mm,0mm,0mm" style="mso-fit-shape-to-text:t;">
            <w:txbxContent>
              <w:p>
                <w:pPr>
                  <w:pStyle w:val="9"/>
                  <w:ind w:firstLine="360"/>
                </w:pPr>
                <w:r>
                  <w:fldChar w:fldCharType="begin"/>
                </w:r>
                <w:r>
                  <w:instrText xml:space="preserve"> PAGE  \* MERGEFORMAT </w:instrText>
                </w:r>
                <w:r>
                  <w:fldChar w:fldCharType="separate"/>
                </w:r>
                <w:r>
                  <w:t>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18"/>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F06B0"/>
    <w:rsid w:val="00016E96"/>
    <w:rsid w:val="000173EF"/>
    <w:rsid w:val="00036A91"/>
    <w:rsid w:val="00040D5C"/>
    <w:rsid w:val="00042CD9"/>
    <w:rsid w:val="0004558D"/>
    <w:rsid w:val="0005134A"/>
    <w:rsid w:val="00051BAF"/>
    <w:rsid w:val="0005232C"/>
    <w:rsid w:val="000735E1"/>
    <w:rsid w:val="00093A22"/>
    <w:rsid w:val="00095C62"/>
    <w:rsid w:val="000A51F4"/>
    <w:rsid w:val="000C26FB"/>
    <w:rsid w:val="000F0655"/>
    <w:rsid w:val="000F4FFC"/>
    <w:rsid w:val="0012196A"/>
    <w:rsid w:val="001249BD"/>
    <w:rsid w:val="0012634A"/>
    <w:rsid w:val="00136637"/>
    <w:rsid w:val="001A1CC3"/>
    <w:rsid w:val="001A606A"/>
    <w:rsid w:val="001A6D12"/>
    <w:rsid w:val="001B140C"/>
    <w:rsid w:val="001B1558"/>
    <w:rsid w:val="001B3901"/>
    <w:rsid w:val="001D479C"/>
    <w:rsid w:val="001F21DE"/>
    <w:rsid w:val="00242174"/>
    <w:rsid w:val="00255974"/>
    <w:rsid w:val="00256A6B"/>
    <w:rsid w:val="002675DC"/>
    <w:rsid w:val="00274F1A"/>
    <w:rsid w:val="00276BDC"/>
    <w:rsid w:val="0029171E"/>
    <w:rsid w:val="002A7925"/>
    <w:rsid w:val="002C4748"/>
    <w:rsid w:val="002D3AD6"/>
    <w:rsid w:val="002F055B"/>
    <w:rsid w:val="0030549E"/>
    <w:rsid w:val="0031109E"/>
    <w:rsid w:val="0032449D"/>
    <w:rsid w:val="003446F5"/>
    <w:rsid w:val="003529CA"/>
    <w:rsid w:val="0038373E"/>
    <w:rsid w:val="003867F7"/>
    <w:rsid w:val="003A7F3D"/>
    <w:rsid w:val="003E2212"/>
    <w:rsid w:val="003F0024"/>
    <w:rsid w:val="004024CF"/>
    <w:rsid w:val="004066E3"/>
    <w:rsid w:val="0041709C"/>
    <w:rsid w:val="00432ED3"/>
    <w:rsid w:val="004531C9"/>
    <w:rsid w:val="00471BE6"/>
    <w:rsid w:val="004951E5"/>
    <w:rsid w:val="004A41DD"/>
    <w:rsid w:val="004A5DC0"/>
    <w:rsid w:val="004B5ABD"/>
    <w:rsid w:val="004D346A"/>
    <w:rsid w:val="004F5C8E"/>
    <w:rsid w:val="004F679C"/>
    <w:rsid w:val="005025BA"/>
    <w:rsid w:val="00512519"/>
    <w:rsid w:val="00517C3B"/>
    <w:rsid w:val="00527EC5"/>
    <w:rsid w:val="00552958"/>
    <w:rsid w:val="00575AF6"/>
    <w:rsid w:val="005813D4"/>
    <w:rsid w:val="00585856"/>
    <w:rsid w:val="00586738"/>
    <w:rsid w:val="00595D6F"/>
    <w:rsid w:val="00597000"/>
    <w:rsid w:val="005A134A"/>
    <w:rsid w:val="005A5CE3"/>
    <w:rsid w:val="005B409E"/>
    <w:rsid w:val="005B7CFB"/>
    <w:rsid w:val="005C157B"/>
    <w:rsid w:val="005D6D77"/>
    <w:rsid w:val="005E2508"/>
    <w:rsid w:val="005E6B99"/>
    <w:rsid w:val="005F3EED"/>
    <w:rsid w:val="005F7D2D"/>
    <w:rsid w:val="00605CFC"/>
    <w:rsid w:val="0061008B"/>
    <w:rsid w:val="006274A1"/>
    <w:rsid w:val="0063425E"/>
    <w:rsid w:val="006352BB"/>
    <w:rsid w:val="0063707A"/>
    <w:rsid w:val="00662E08"/>
    <w:rsid w:val="00664F09"/>
    <w:rsid w:val="00670D87"/>
    <w:rsid w:val="006A0D73"/>
    <w:rsid w:val="006A3559"/>
    <w:rsid w:val="006D393C"/>
    <w:rsid w:val="006D5362"/>
    <w:rsid w:val="006E6B5F"/>
    <w:rsid w:val="006E72BA"/>
    <w:rsid w:val="006F0DF2"/>
    <w:rsid w:val="006F463E"/>
    <w:rsid w:val="006F6127"/>
    <w:rsid w:val="007002E6"/>
    <w:rsid w:val="00703B84"/>
    <w:rsid w:val="00706CBD"/>
    <w:rsid w:val="00736D3D"/>
    <w:rsid w:val="00741412"/>
    <w:rsid w:val="00762F68"/>
    <w:rsid w:val="007754DA"/>
    <w:rsid w:val="007F06B0"/>
    <w:rsid w:val="007F6B69"/>
    <w:rsid w:val="007F77F7"/>
    <w:rsid w:val="008009C2"/>
    <w:rsid w:val="008016AD"/>
    <w:rsid w:val="00802AA2"/>
    <w:rsid w:val="00803F21"/>
    <w:rsid w:val="0082607E"/>
    <w:rsid w:val="00836BC8"/>
    <w:rsid w:val="008376BC"/>
    <w:rsid w:val="00854501"/>
    <w:rsid w:val="00881E64"/>
    <w:rsid w:val="008C60A5"/>
    <w:rsid w:val="008E11AE"/>
    <w:rsid w:val="008F42C5"/>
    <w:rsid w:val="00903BAB"/>
    <w:rsid w:val="00933196"/>
    <w:rsid w:val="0094754D"/>
    <w:rsid w:val="00971FC3"/>
    <w:rsid w:val="00973F60"/>
    <w:rsid w:val="00974D09"/>
    <w:rsid w:val="00987E39"/>
    <w:rsid w:val="009B1571"/>
    <w:rsid w:val="009B4149"/>
    <w:rsid w:val="009B6558"/>
    <w:rsid w:val="009D0575"/>
    <w:rsid w:val="009E04B7"/>
    <w:rsid w:val="00A02AF1"/>
    <w:rsid w:val="00A04041"/>
    <w:rsid w:val="00A249DD"/>
    <w:rsid w:val="00A3640A"/>
    <w:rsid w:val="00AD0AC9"/>
    <w:rsid w:val="00AD7BBC"/>
    <w:rsid w:val="00AE4F46"/>
    <w:rsid w:val="00AF1655"/>
    <w:rsid w:val="00AF18DD"/>
    <w:rsid w:val="00B022A1"/>
    <w:rsid w:val="00B04950"/>
    <w:rsid w:val="00B2760E"/>
    <w:rsid w:val="00B32825"/>
    <w:rsid w:val="00B349D7"/>
    <w:rsid w:val="00B44395"/>
    <w:rsid w:val="00B460FA"/>
    <w:rsid w:val="00B52EE1"/>
    <w:rsid w:val="00B61CE4"/>
    <w:rsid w:val="00B67202"/>
    <w:rsid w:val="00BA023D"/>
    <w:rsid w:val="00BB19CB"/>
    <w:rsid w:val="00BB46B6"/>
    <w:rsid w:val="00BF35E2"/>
    <w:rsid w:val="00C012F9"/>
    <w:rsid w:val="00C123DB"/>
    <w:rsid w:val="00C40ADE"/>
    <w:rsid w:val="00C55698"/>
    <w:rsid w:val="00C61919"/>
    <w:rsid w:val="00C83BA4"/>
    <w:rsid w:val="00C912A6"/>
    <w:rsid w:val="00CA411F"/>
    <w:rsid w:val="00CA5EF5"/>
    <w:rsid w:val="00CA7DE6"/>
    <w:rsid w:val="00CB10CC"/>
    <w:rsid w:val="00CC6A87"/>
    <w:rsid w:val="00CE0BF8"/>
    <w:rsid w:val="00D03AE4"/>
    <w:rsid w:val="00D10F20"/>
    <w:rsid w:val="00D1101B"/>
    <w:rsid w:val="00D122F8"/>
    <w:rsid w:val="00D167E4"/>
    <w:rsid w:val="00D33680"/>
    <w:rsid w:val="00D975DC"/>
    <w:rsid w:val="00DB1594"/>
    <w:rsid w:val="00DB16C3"/>
    <w:rsid w:val="00DB5C9A"/>
    <w:rsid w:val="00DB6E9F"/>
    <w:rsid w:val="00DC47A6"/>
    <w:rsid w:val="00DE0515"/>
    <w:rsid w:val="00DF0ABC"/>
    <w:rsid w:val="00E0346B"/>
    <w:rsid w:val="00E26E9A"/>
    <w:rsid w:val="00E43D89"/>
    <w:rsid w:val="00E449E7"/>
    <w:rsid w:val="00E61021"/>
    <w:rsid w:val="00E64EDE"/>
    <w:rsid w:val="00E825D2"/>
    <w:rsid w:val="00E9573C"/>
    <w:rsid w:val="00EA04B4"/>
    <w:rsid w:val="00EB42A0"/>
    <w:rsid w:val="00EB5CB9"/>
    <w:rsid w:val="00EF3CF4"/>
    <w:rsid w:val="00F05142"/>
    <w:rsid w:val="00F05B3D"/>
    <w:rsid w:val="00F07B25"/>
    <w:rsid w:val="00F324C1"/>
    <w:rsid w:val="00F35BA9"/>
    <w:rsid w:val="00F52518"/>
    <w:rsid w:val="00F72F28"/>
    <w:rsid w:val="00F83CDF"/>
    <w:rsid w:val="00F87D00"/>
    <w:rsid w:val="00FA3B64"/>
    <w:rsid w:val="00FB49F4"/>
    <w:rsid w:val="00FB4E89"/>
    <w:rsid w:val="00FB595E"/>
    <w:rsid w:val="00FC517B"/>
    <w:rsid w:val="0B21326C"/>
    <w:rsid w:val="0C69696F"/>
    <w:rsid w:val="10B9209E"/>
    <w:rsid w:val="13A26293"/>
    <w:rsid w:val="1BAB707F"/>
    <w:rsid w:val="1C1B39DD"/>
    <w:rsid w:val="1D2C7D37"/>
    <w:rsid w:val="1E59461B"/>
    <w:rsid w:val="205600C5"/>
    <w:rsid w:val="220B06A3"/>
    <w:rsid w:val="2B49624E"/>
    <w:rsid w:val="347437E7"/>
    <w:rsid w:val="35E617DA"/>
    <w:rsid w:val="3BA40079"/>
    <w:rsid w:val="3F6F466D"/>
    <w:rsid w:val="3FC4610D"/>
    <w:rsid w:val="3FD525DC"/>
    <w:rsid w:val="420C7B3D"/>
    <w:rsid w:val="426203DE"/>
    <w:rsid w:val="479B6761"/>
    <w:rsid w:val="49823A9A"/>
    <w:rsid w:val="4AC76912"/>
    <w:rsid w:val="510F7C5C"/>
    <w:rsid w:val="57D658D7"/>
    <w:rsid w:val="5DC11DBF"/>
    <w:rsid w:val="67DC2A4F"/>
    <w:rsid w:val="698D64E6"/>
    <w:rsid w:val="76E07510"/>
    <w:rsid w:val="7E292B1C"/>
    <w:rsid w:val="7F9149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 w:semiHidden="0" w:name="Strong"/>
    <w:lsdException w:qFormat="1" w:unhideWhenUsed="0" w:uiPriority="2"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32"/>
      <w:szCs w:val="32"/>
      <w:lang w:val="en-US" w:eastAsia="zh-CN" w:bidi="ar-SA"/>
    </w:rPr>
  </w:style>
  <w:style w:type="paragraph" w:styleId="2">
    <w:name w:val="heading 1"/>
    <w:basedOn w:val="1"/>
    <w:next w:val="1"/>
    <w:link w:val="15"/>
    <w:qFormat/>
    <w:uiPriority w:val="0"/>
    <w:pPr>
      <w:jc w:val="left"/>
      <w:outlineLvl w:val="0"/>
    </w:pPr>
    <w:rPr>
      <w:rFonts w:eastAsia="黑体" w:cs="Times New Roman"/>
      <w:bCs/>
      <w:szCs w:val="44"/>
    </w:rPr>
  </w:style>
  <w:style w:type="paragraph" w:styleId="3">
    <w:name w:val="heading 2"/>
    <w:basedOn w:val="4"/>
    <w:next w:val="1"/>
    <w:link w:val="16"/>
    <w:qFormat/>
    <w:uiPriority w:val="0"/>
    <w:pPr>
      <w:outlineLvl w:val="1"/>
    </w:pPr>
    <w:rPr>
      <w:rFonts w:eastAsia="楷体" w:cs="Times New Roman"/>
      <w:b/>
    </w:rPr>
  </w:style>
  <w:style w:type="paragraph" w:styleId="5">
    <w:name w:val="heading 3"/>
    <w:basedOn w:val="1"/>
    <w:next w:val="1"/>
    <w:link w:val="17"/>
    <w:qFormat/>
    <w:uiPriority w:val="0"/>
    <w:pPr>
      <w:keepNext/>
      <w:keepLines/>
      <w:outlineLvl w:val="2"/>
    </w:pPr>
    <w:rPr>
      <w:b/>
      <w:bCs/>
    </w:rPr>
  </w:style>
  <w:style w:type="paragraph" w:styleId="6">
    <w:name w:val="heading 5"/>
    <w:basedOn w:val="1"/>
    <w:next w:val="1"/>
    <w:link w:val="23"/>
    <w:semiHidden/>
    <w:unhideWhenUsed/>
    <w:qFormat/>
    <w:uiPriority w:val="0"/>
    <w:pPr>
      <w:keepNext/>
      <w:keepLines/>
      <w:spacing w:before="280" w:after="290" w:line="376" w:lineRule="auto"/>
      <w:outlineLvl w:val="4"/>
    </w:pPr>
    <w:rPr>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1"/>
    <w:pPr>
      <w:widowControl w:val="0"/>
      <w:ind w:firstLine="200" w:firstLineChars="200"/>
      <w:jc w:val="both"/>
    </w:pPr>
    <w:rPr>
      <w:rFonts w:ascii="Times New Roman" w:hAnsi="Times New Roman" w:eastAsia="仿宋" w:cstheme="minorBidi"/>
      <w:kern w:val="2"/>
      <w:sz w:val="32"/>
      <w:szCs w:val="32"/>
      <w:lang w:val="en-US" w:eastAsia="zh-CN" w:bidi="ar-SA"/>
    </w:rPr>
  </w:style>
  <w:style w:type="paragraph" w:styleId="7">
    <w:name w:val="Date"/>
    <w:basedOn w:val="1"/>
    <w:next w:val="1"/>
    <w:link w:val="24"/>
    <w:semiHidden/>
    <w:unhideWhenUsed/>
    <w:qFormat/>
    <w:uiPriority w:val="99"/>
    <w:pPr>
      <w:ind w:left="100" w:leftChars="2500"/>
    </w:pPr>
  </w:style>
  <w:style w:type="paragraph" w:styleId="8">
    <w:name w:val="Balloon Text"/>
    <w:basedOn w:val="1"/>
    <w:link w:val="19"/>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link w:val="18"/>
    <w:qFormat/>
    <w:uiPriority w:val="0"/>
    <w:pPr>
      <w:spacing w:beforeLines="100" w:afterLines="100"/>
      <w:ind w:firstLine="0" w:firstLineChars="0"/>
      <w:jc w:val="center"/>
      <w:outlineLvl w:val="0"/>
    </w:pPr>
    <w:rPr>
      <w:rFonts w:asciiTheme="majorHAnsi" w:hAnsiTheme="majorHAnsi" w:eastAsiaTheme="majorEastAsia" w:cstheme="majorBidi"/>
      <w:b/>
      <w:bCs/>
      <w:sz w:val="44"/>
    </w:rPr>
  </w:style>
  <w:style w:type="character" w:styleId="14">
    <w:name w:val="Hyperlink"/>
    <w:basedOn w:val="13"/>
    <w:unhideWhenUsed/>
    <w:qFormat/>
    <w:uiPriority w:val="99"/>
    <w:rPr>
      <w:color w:val="0563C1" w:themeColor="hyperlink"/>
      <w:u w:val="single"/>
    </w:rPr>
  </w:style>
  <w:style w:type="character" w:customStyle="1" w:styleId="15">
    <w:name w:val="标题 1 Char"/>
    <w:basedOn w:val="13"/>
    <w:link w:val="2"/>
    <w:qFormat/>
    <w:uiPriority w:val="0"/>
    <w:rPr>
      <w:rFonts w:ascii="Times New Roman" w:hAnsi="Times New Roman" w:eastAsia="黑体" w:cs="Times New Roman"/>
      <w:bCs/>
      <w:kern w:val="2"/>
      <w:sz w:val="32"/>
      <w:szCs w:val="44"/>
    </w:rPr>
  </w:style>
  <w:style w:type="character" w:customStyle="1" w:styleId="16">
    <w:name w:val="标题 2 Char"/>
    <w:basedOn w:val="13"/>
    <w:link w:val="3"/>
    <w:qFormat/>
    <w:uiPriority w:val="0"/>
    <w:rPr>
      <w:rFonts w:ascii="Times New Roman" w:hAnsi="Times New Roman" w:eastAsia="楷体" w:cs="Times New Roman"/>
      <w:b/>
      <w:kern w:val="2"/>
      <w:sz w:val="32"/>
      <w:szCs w:val="32"/>
    </w:rPr>
  </w:style>
  <w:style w:type="character" w:customStyle="1" w:styleId="17">
    <w:name w:val="标题 3 Char"/>
    <w:basedOn w:val="13"/>
    <w:link w:val="5"/>
    <w:qFormat/>
    <w:uiPriority w:val="0"/>
    <w:rPr>
      <w:rFonts w:ascii="Times New Roman" w:hAnsi="Times New Roman" w:eastAsia="仿宋"/>
      <w:b/>
      <w:bCs/>
      <w:kern w:val="2"/>
      <w:sz w:val="32"/>
      <w:szCs w:val="32"/>
    </w:rPr>
  </w:style>
  <w:style w:type="character" w:customStyle="1" w:styleId="18">
    <w:name w:val="标题 Char"/>
    <w:basedOn w:val="13"/>
    <w:link w:val="11"/>
    <w:qFormat/>
    <w:uiPriority w:val="0"/>
    <w:rPr>
      <w:rFonts w:asciiTheme="majorHAnsi" w:hAnsiTheme="majorHAnsi" w:eastAsiaTheme="majorEastAsia" w:cstheme="majorBidi"/>
      <w:b/>
      <w:bCs/>
      <w:kern w:val="2"/>
      <w:sz w:val="44"/>
      <w:szCs w:val="32"/>
    </w:rPr>
  </w:style>
  <w:style w:type="character" w:customStyle="1" w:styleId="19">
    <w:name w:val="批注框文本 Char"/>
    <w:basedOn w:val="13"/>
    <w:link w:val="8"/>
    <w:semiHidden/>
    <w:qFormat/>
    <w:uiPriority w:val="99"/>
    <w:rPr>
      <w:rFonts w:ascii="Times New Roman" w:hAnsi="Times New Roman" w:eastAsia="仿宋"/>
      <w:kern w:val="2"/>
      <w:sz w:val="18"/>
      <w:szCs w:val="18"/>
    </w:rPr>
  </w:style>
  <w:style w:type="character" w:customStyle="1" w:styleId="20">
    <w:name w:val="页眉 Char"/>
    <w:basedOn w:val="13"/>
    <w:link w:val="10"/>
    <w:qFormat/>
    <w:uiPriority w:val="99"/>
    <w:rPr>
      <w:rFonts w:ascii="Times New Roman" w:hAnsi="Times New Roman" w:eastAsia="仿宋"/>
      <w:kern w:val="2"/>
      <w:sz w:val="18"/>
      <w:szCs w:val="18"/>
    </w:rPr>
  </w:style>
  <w:style w:type="character" w:customStyle="1" w:styleId="21">
    <w:name w:val="页脚 Char"/>
    <w:basedOn w:val="13"/>
    <w:link w:val="9"/>
    <w:qFormat/>
    <w:uiPriority w:val="99"/>
    <w:rPr>
      <w:rFonts w:ascii="Times New Roman" w:hAnsi="Times New Roman" w:eastAsia="仿宋"/>
      <w:kern w:val="2"/>
      <w:sz w:val="18"/>
      <w:szCs w:val="18"/>
    </w:rPr>
  </w:style>
  <w:style w:type="table" w:customStyle="1" w:styleId="22">
    <w:name w:val="网格型1"/>
    <w:basedOn w:val="1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标题 5 Char"/>
    <w:basedOn w:val="13"/>
    <w:link w:val="6"/>
    <w:semiHidden/>
    <w:qFormat/>
    <w:uiPriority w:val="0"/>
    <w:rPr>
      <w:rFonts w:ascii="Times New Roman" w:hAnsi="Times New Roman" w:eastAsia="仿宋"/>
      <w:b/>
      <w:bCs/>
      <w:kern w:val="2"/>
      <w:sz w:val="28"/>
      <w:szCs w:val="28"/>
    </w:rPr>
  </w:style>
  <w:style w:type="character" w:customStyle="1" w:styleId="24">
    <w:name w:val="日期 Char"/>
    <w:basedOn w:val="13"/>
    <w:link w:val="7"/>
    <w:semiHidden/>
    <w:qFormat/>
    <w:uiPriority w:val="99"/>
    <w:rPr>
      <w:rFonts w:ascii="Times New Roman" w:hAnsi="Times New Roman" w:eastAsia="仿宋"/>
      <w:kern w:val="2"/>
      <w:sz w:val="32"/>
      <w:szCs w:val="32"/>
    </w:rPr>
  </w:style>
  <w:style w:type="paragraph" w:customStyle="1" w:styleId="25">
    <w:name w:val="qowt-stl-正文"/>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26">
    <w:name w:val="qowt-font5"/>
    <w:basedOn w:val="13"/>
    <w:qFormat/>
    <w:uiPriority w:val="0"/>
  </w:style>
  <w:style w:type="character" w:customStyle="1" w:styleId="27">
    <w:name w:val="qowt-font6-gb2312"/>
    <w:basedOn w:val="13"/>
    <w:qFormat/>
    <w:uiPriority w:val="0"/>
  </w:style>
  <w:style w:type="paragraph" w:customStyle="1" w:styleId="28">
    <w:name w:val="qowt-stl-正文文本"/>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customStyle="1" w:styleId="29">
    <w:name w:val="x-scope1"/>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宋体"/>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1008</Words>
  <Characters>5747</Characters>
  <Lines>47</Lines>
  <Paragraphs>13</Paragraphs>
  <TotalTime>24</TotalTime>
  <ScaleCrop>false</ScaleCrop>
  <LinksUpToDate>false</LinksUpToDate>
  <CharactersWithSpaces>6742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2020-04-14T03:17:00Z</dcterms:created>
  <dc:creator>hu 113</dc:creator>
  <cp:lastModifiedBy>嘿、帅帅锅</cp:lastModifiedBy>
  <cp:lastPrinted>2021-11-22T02:20:11Z</cp:lastPrinted>
  <dcterms:modified xsi:type="dcterms:W3CDTF">2021-11-22T02:24:41Z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622ECB6A71EE4D3BB4D5C613A13A5857</vt:lpwstr>
  </property>
</Properties>
</file>