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大型育秧中心建设询价表</w:t>
      </w:r>
    </w:p>
    <w:bookmarkEnd w:id="0"/>
    <w:p>
      <w:pPr>
        <w:pStyle w:val="6"/>
        <w:jc w:val="left"/>
        <w:rPr>
          <w:rFonts w:hint="eastAsia" w:ascii="Times New Roman;Nimbus Roman No" w:hAnsi="Times New Roman;Nimbus Roman No" w:cs="黑体;SimHei"/>
          <w:b/>
          <w:bCs/>
          <w:sz w:val="44"/>
          <w:szCs w:val="21"/>
        </w:rPr>
      </w:pPr>
    </w:p>
    <w:p>
      <w:pPr>
        <w:pStyle w:val="6"/>
        <w:jc w:val="left"/>
        <w:rPr>
          <w:rFonts w:hint="eastAsia" w:ascii="Times New Roman;Nimbus Roman No" w:hAnsi="Times New Roman;Nimbus Roman No"/>
          <w:szCs w:val="21"/>
        </w:rPr>
      </w:pPr>
      <w:r>
        <w:t>生产企业（盖章）</w:t>
      </w:r>
      <w:r>
        <w:rPr>
          <w:rFonts w:ascii="Times New Roman;Nimbus Roman No" w:hAnsi="Times New Roman;Nimbus Roman No" w:cs="黑体;SimHei"/>
          <w:szCs w:val="21"/>
        </w:rPr>
        <w:t>：</w:t>
      </w:r>
      <w:r>
        <w:rPr>
          <w:rFonts w:ascii="Times New Roman;Nimbus Roman No" w:hAnsi="Times New Roman;Nimbus Roman No" w:eastAsia="Calibri" w:cs="黑体;SimHei"/>
          <w:szCs w:val="21"/>
        </w:rPr>
        <w:t xml:space="preserve">                          </w:t>
      </w:r>
      <w:r>
        <w:rPr>
          <w:rFonts w:hint="eastAsia" w:ascii="Times New Roman;Nimbus Roman No" w:hAnsi="Times New Roman;Nimbus Roman No" w:cs="黑体;SimHei"/>
          <w:szCs w:val="21"/>
        </w:rPr>
        <w:t xml:space="preserve">   </w:t>
      </w:r>
      <w:r>
        <w:rPr>
          <w:rFonts w:ascii="Times New Roman;Nimbus Roman No" w:hAnsi="Times New Roman;Nimbus Roman No" w:eastAsia="Calibri" w:cs="黑体;SimHei"/>
          <w:szCs w:val="21"/>
        </w:rPr>
        <w:t xml:space="preserve">    </w:t>
      </w:r>
      <w:r>
        <w:rPr>
          <w:rFonts w:ascii="Times New Roman;Nimbus Roman No" w:hAnsi="Times New Roman;Nimbus Roman No" w:cs="黑体;SimHei"/>
          <w:szCs w:val="21"/>
        </w:rPr>
        <w:t>联系人及联系号码：</w:t>
      </w:r>
      <w:r>
        <w:rPr>
          <w:rFonts w:ascii="Times New Roman;Nimbus Roman No" w:hAnsi="Times New Roman;Nimbus Roman No" w:eastAsia="Calibri" w:cs="黑体;SimHei"/>
          <w:szCs w:val="21"/>
        </w:rPr>
        <w:t xml:space="preserve">                             </w:t>
      </w:r>
      <w:r>
        <w:rPr>
          <w:rFonts w:hint="eastAsia" w:ascii="Times New Roman;Nimbus Roman No" w:hAnsi="Times New Roman;Nimbus Roman No" w:cs="黑体;SimHei"/>
          <w:szCs w:val="21"/>
        </w:rPr>
        <w:t xml:space="preserve"> </w:t>
      </w:r>
      <w:r>
        <w:rPr>
          <w:rFonts w:ascii="Times New Roman;Nimbus Roman No" w:hAnsi="Times New Roman;Nimbus Roman No" w:cs="黑体;SimHei"/>
          <w:szCs w:val="21"/>
        </w:rPr>
        <w:t>填报时间：      年   月   日</w:t>
      </w:r>
    </w:p>
    <w:tbl>
      <w:tblPr>
        <w:tblStyle w:val="5"/>
        <w:tblW w:w="14040" w:type="dxa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40"/>
        <w:gridCol w:w="5933"/>
        <w:gridCol w:w="1110"/>
        <w:gridCol w:w="1169"/>
        <w:gridCol w:w="2331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设施设备名称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数量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;Nimbus Roman No" w:hAnsi="Times New Roman;Nimbus Roman No" w:cs="黑体;SimHei"/>
                <w:b/>
                <w:color w:val="000000"/>
                <w:szCs w:val="21"/>
              </w:rPr>
              <w:t>大型育秧中心建设</w:t>
            </w:r>
            <w:r>
              <w:rPr>
                <w:rFonts w:cs="宋体;SimSun"/>
                <w:b/>
                <w:color w:val="000000"/>
                <w:szCs w:val="21"/>
              </w:rPr>
              <w:t>技术要求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备注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品牌型号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技术参数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szCs w:val="21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一、设施部分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播种生产车间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color w:val="000000"/>
                <w:sz w:val="22"/>
              </w:rPr>
              <w:t>建筑面积</w:t>
            </w: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≥1110</w:t>
            </w:r>
            <w:r>
              <w:rPr>
                <w:rFonts w:ascii="宋体;SimSun" w:hAnsi="宋体;SimSun" w:cs="宋体;SimSun"/>
                <w:color w:val="000000"/>
                <w:sz w:val="22"/>
              </w:rPr>
              <w:t>m</w:t>
            </w:r>
            <w:r>
              <w:rPr>
                <w:rFonts w:ascii="宋体;SimSun" w:hAnsi="宋体;SimSun" w:cs="宋体;SimSu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jc w:val="both"/>
            </w:pPr>
            <w:r>
              <w:rPr>
                <w:rFonts w:cs="宋体;SimSun"/>
                <w:color w:val="000000"/>
                <w:kern w:val="2"/>
                <w:sz w:val="22"/>
                <w:szCs w:val="22"/>
                <w:lang w:val="en"/>
              </w:rPr>
              <w:t>大跨度钢架棚（18m跨度）：满足《钢结构设计标准》（GB50017-2017）的要求，本工程采用轻型钢结构，人字屋面，建筑层数为单层，屋面及四周围护采用彩钢板，建筑柱距不大于6m，建筑物檐高不低于6m，主出入口高度不低于5m，</w:t>
            </w:r>
            <w:r>
              <w:rPr>
                <w:rFonts w:cs="宋体;SimSun"/>
                <w:color w:val="000000"/>
                <w:sz w:val="22"/>
                <w:szCs w:val="22"/>
                <w:shd w:val="clear" w:color="auto" w:fill="FFFFFF"/>
                <w:lang w:val="en"/>
              </w:rPr>
              <w:t>宽度不低于4.5m</w:t>
            </w:r>
            <w:r>
              <w:rPr>
                <w:rFonts w:cs="宋体;SimSun"/>
                <w:color w:val="000000"/>
                <w:kern w:val="2"/>
                <w:sz w:val="22"/>
                <w:szCs w:val="22"/>
                <w:lang w:val="en"/>
              </w:rPr>
              <w:t>。钢架棚立柱采用H(350-550)×240×6×10mm型钢，钢梁采用H(300-550)×200×6×10mm和H300×180×6×8mm型钢， 屋面檩条采用C250×75×20×2.2mm型钢，墙面檩条采用C220×75×20×2.0mm型钢，拉条采用双层φ12mm圆钢。梁柱采用Q355B低合金结构钢，檩条采用Q235B碳素结构钢。设计满足建设项目所在地情况抗风抗雪等要求，确保整体安全稳定，</w:t>
            </w:r>
            <w:r>
              <w:rPr>
                <w:rFonts w:cs="宋体;SimSun"/>
                <w:color w:val="000000"/>
                <w:sz w:val="22"/>
                <w:szCs w:val="22"/>
              </w:rPr>
              <w:t>设计使用</w:t>
            </w:r>
            <w:r>
              <w:rPr>
                <w:rFonts w:cs="宋体;SimSun"/>
                <w:color w:val="000000"/>
                <w:kern w:val="2"/>
                <w:sz w:val="22"/>
                <w:szCs w:val="22"/>
                <w:lang w:val="en"/>
              </w:rPr>
              <w:t>寿命</w:t>
            </w:r>
            <w:r>
              <w:rPr>
                <w:rFonts w:cs="宋体;SimSun"/>
                <w:color w:val="000000"/>
                <w:kern w:val="2"/>
                <w:sz w:val="22"/>
                <w:szCs w:val="22"/>
              </w:rPr>
              <w:t>25</w:t>
            </w:r>
            <w:r>
              <w:rPr>
                <w:rFonts w:cs="宋体;SimSun"/>
                <w:color w:val="000000"/>
                <w:kern w:val="2"/>
                <w:sz w:val="22"/>
                <w:szCs w:val="22"/>
                <w:lang w:val="en"/>
              </w:rPr>
              <w:t>年。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浸种池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5个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每个容积≧</w:t>
            </w:r>
            <w:r>
              <w:rPr>
                <w:rFonts w:ascii="宋体;SimSun" w:hAnsi="宋体;SimSun" w:cs="宋体;SimSun"/>
                <w:color w:val="000000"/>
                <w:sz w:val="22"/>
              </w:rPr>
              <w:t>1.5</w:t>
            </w: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m×</w:t>
            </w:r>
            <w:r>
              <w:rPr>
                <w:rFonts w:ascii="宋体;SimSun" w:hAnsi="宋体;SimSun" w:cs="宋体;SimSun"/>
                <w:color w:val="000000"/>
                <w:sz w:val="22"/>
              </w:rPr>
              <w:t>1.5</w:t>
            </w: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m×</w:t>
            </w:r>
            <w:r>
              <w:rPr>
                <w:rFonts w:ascii="宋体;SimSun" w:hAnsi="宋体;SimSun" w:cs="宋体;SimSun"/>
                <w:color w:val="000000"/>
                <w:sz w:val="22"/>
              </w:rPr>
              <w:t>1.2m</w:t>
            </w: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，可采用砖砌水池，砂浆抹面，按照一池多格设置并进行编号。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暗化催芽室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面积</w:t>
            </w:r>
            <w:r>
              <w:rPr>
                <w:rFonts w:ascii="宋体;SimSun" w:hAnsi="宋体;SimSun" w:cs="宋体;SimSun"/>
                <w:color w:val="000000"/>
                <w:sz w:val="22"/>
              </w:rPr>
              <w:t>≥120m</w:t>
            </w:r>
            <w:r>
              <w:rPr>
                <w:rFonts w:ascii="宋体;SimSun" w:hAnsi="宋体;SimSun" w:cs="宋体;SimSu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采用轻型钢结构，平屋面，建筑层数为单层，屋面及四周围护采用采用5cm厚聚氨酯夹心彩钢板，建筑开间柱间距不大于6m，顶高度不低于3m，出入口高度不低于2.7m，</w:t>
            </w:r>
            <w:r>
              <w:rPr>
                <w:rFonts w:ascii="宋体;SimSun" w:hAnsi="宋体;SimSun" w:cs="宋体;SimSun"/>
                <w:color w:val="000000"/>
                <w:sz w:val="22"/>
                <w:shd w:val="clear" w:color="auto" w:fill="FFFFFF"/>
                <w:lang w:val="en"/>
              </w:rPr>
              <w:t>宽度不低于</w:t>
            </w:r>
            <w:r>
              <w:rPr>
                <w:rFonts w:ascii="宋体;SimSun" w:hAnsi="宋体;SimSun" w:cs="宋体;SimSun"/>
                <w:color w:val="000000"/>
                <w:sz w:val="22"/>
                <w:shd w:val="clear" w:color="auto" w:fill="FFFFFF"/>
              </w:rPr>
              <w:t>3.0</w:t>
            </w:r>
            <w:r>
              <w:rPr>
                <w:rFonts w:ascii="宋体;SimSun" w:hAnsi="宋体;SimSun" w:cs="宋体;SimSun"/>
                <w:color w:val="000000"/>
                <w:sz w:val="22"/>
                <w:shd w:val="clear" w:color="auto" w:fill="FFFFFF"/>
                <w:lang w:val="en"/>
              </w:rPr>
              <w:t>m，</w:t>
            </w:r>
            <w:r>
              <w:rPr>
                <w:rFonts w:ascii="宋体;SimSun" w:hAnsi="宋体;SimSun" w:cs="宋体;SimSun"/>
                <w:color w:val="000000"/>
                <w:sz w:val="22"/>
                <w:lang w:val="en"/>
              </w:rPr>
              <w:t>材质为碳素结构钢Q235B及以上热镀锌钢管。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</w:rPr>
            </w:pPr>
            <w:r>
              <w:rPr>
                <w:rFonts w:ascii="宋体;SimSun" w:hAnsi="宋体;SimSun" w:cs="宋体;SimSun"/>
                <w:color w:val="000000"/>
                <w:sz w:val="22"/>
              </w:rPr>
              <w:t>二、设备部分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移动碎土机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1台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生产率≧15t/h，含15kw电机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床土提升设备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1台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电机功率3～5kw，用于床土转运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秧盘播种流水线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2台（硬盘播种线）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采用平盘硬秧盘，生产率≧1200盘/h；含送盘机、叠盘机，具备铺土、平土、播种、覆土功能。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育秧盘（硬秧盘）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250000张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25张/亩，规格符合《水稻机插钵形毯状育秧盘》（NY/T 2674）及《水稻育秧塑料钵体软盘》（NY-T 390）要求。再生塑料符合《废塑料再生利用技术规范》（GB/T 37821）要求。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根据需要合理配置数量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蒸汽发生器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color w:val="000000"/>
                <w:sz w:val="22"/>
              </w:rPr>
              <w:t>≥</w:t>
            </w: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1台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整机功率≥8kw，可对40㎡暗化催芽室提供蒸汽，进行控温控湿，满足破胸、暗化催芽要求。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转运托盘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126个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即为网格田字叉车板，规格1.3×1.1×0.15m，全新塑料（可加钢条加固），每个可运输180个秧盘。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根据需要合理配置数量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带式输送机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2条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单条配套功率3-5.5kw、输送能力≧1t/h、输送长度≧6m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val="e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 w:val="22"/>
                <w:szCs w:val="22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自走式叉车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1台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 w:val="22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 w:val="22"/>
                <w:lang w:bidi="ar"/>
              </w:rPr>
              <w:t>自走式（柴油动力或电池动力），载重≧2t，用于秧盘及其他物品的运输和转移，产品符合国家有关要求。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 w:val="22"/>
                <w:lang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;Nimbus Roman N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3730"/>
    <w:rsid w:val="01A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;SimSun" w:hAnsi="宋体;SimSun" w:eastAsia="宋体;SimSun" w:cs="Times New Roman"/>
      <w:kern w:val="0"/>
      <w:sz w:val="24"/>
      <w:szCs w:val="24"/>
      <w:lang w:bidi="hi-IN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JUST TWO</dc:creator>
  <cp:lastModifiedBy>JUST TWO</cp:lastModifiedBy>
  <dcterms:modified xsi:type="dcterms:W3CDTF">2022-01-26T03:37:00Z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